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A1999" w:rsidRDefault="00ED5286">
      <w:pPr>
        <w:spacing w:after="280" w:line="36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TAXONOMIA DE LA VIOLENCIA DE GENERO</w:t>
      </w:r>
    </w:p>
    <w:p w14:paraId="00000002" w14:textId="77777777" w:rsidR="003A1999" w:rsidRDefault="00ED5286">
      <w:pPr>
        <w:spacing w:before="280" w:after="280" w:line="36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Mg.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Christian Oscar Díaz Solís</w:t>
      </w:r>
      <w:bookmarkEnd w:id="0"/>
    </w:p>
    <w:p w14:paraId="00000003" w14:textId="77777777" w:rsidR="003A1999" w:rsidRDefault="00ED528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SUMARIO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0000004" w14:textId="77777777" w:rsidR="003A1999" w:rsidRDefault="00ED528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1.- Introducción. 2.- Consideraciones Preliminares. 3.- La Violencia de Género y sus Modalidades. 4.- Conclusiones. 5.- Fuentes de Información.</w:t>
      </w:r>
    </w:p>
    <w:p w14:paraId="00000005" w14:textId="77777777" w:rsidR="003A1999" w:rsidRDefault="00ED528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RESUMEN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6" w14:textId="77777777" w:rsidR="003A1999" w:rsidRDefault="00ED5286">
      <w:pP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La violencia de género o violencia doméstica, consiste en toda acción u omisión que cause daño físico, psíquico o sexual a la mujer, la cual debido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esteriotipos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construidos culturalmente, se encuentra en una situación de subordinación y vulnerabilidad so</w:t>
      </w:r>
      <w:r>
        <w:rPr>
          <w:rFonts w:ascii="Times New Roman" w:eastAsia="Times New Roman" w:hAnsi="Times New Roman" w:cs="Times New Roman"/>
          <w:sz w:val="24"/>
          <w:szCs w:val="24"/>
        </w:rPr>
        <w:t>cial; Al respecto, nuestra legislación vigente sobre la materia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, describe cuatro tipos de violencia contra la mujer: violencia física, violencia psicológica, violencia sexual y violencia económica.</w:t>
      </w:r>
    </w:p>
    <w:p w14:paraId="00000007" w14:textId="77777777" w:rsidR="003A1999" w:rsidRDefault="00ED528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ABSTRACT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08" w14:textId="77777777" w:rsidR="003A1999" w:rsidRDefault="00ED5286">
      <w:pP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causes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sexual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which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subordination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vulnerability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cultural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stereotypes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ychological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physical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sexual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inancial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09" w14:textId="77777777" w:rsidR="003A1999" w:rsidRDefault="00ED528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PALABRAS CLAVES:</w:t>
      </w:r>
    </w:p>
    <w:p w14:paraId="0000000A" w14:textId="77777777" w:rsidR="003A1999" w:rsidRDefault="00ED528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Violencia de Genero / Violencia Física / Violencia Psíquica / Violencia Sexual / Violencia Patrimonial / Feminicidio</w:t>
      </w:r>
    </w:p>
    <w:p w14:paraId="0000000B" w14:textId="77777777" w:rsidR="003A1999" w:rsidRDefault="003A199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C" w14:textId="77777777" w:rsidR="003A1999" w:rsidRDefault="00ED528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KEY WORDS:</w:t>
      </w:r>
    </w:p>
    <w:p w14:paraId="0000000D" w14:textId="77777777" w:rsidR="003A1999" w:rsidRDefault="00ED5286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3" w:name="_30j0zll" w:colFirst="0" w:colLast="0"/>
      <w:bookmarkEnd w:id="3"/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Physical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/ Sexual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Financial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Femicide</w:t>
      </w:r>
      <w:proofErr w:type="spellEnd"/>
    </w:p>
    <w:p w14:paraId="0000000E" w14:textId="77777777" w:rsidR="003A1999" w:rsidRDefault="00ED5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INTRODUCCIÓN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000000F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violencia de género expresado por nuestra sociedad, pone de manifiesto la subcultura de menosprecio hacia la mujer; Entiéndase, que en diversos contextos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sociales,  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mujer resulta ser, un anexo del patriarca o cabeza de familia. En tal sentido, compre</w:t>
      </w:r>
      <w:r>
        <w:rPr>
          <w:rFonts w:ascii="Times New Roman" w:eastAsia="Times New Roman" w:hAnsi="Times New Roman" w:cs="Times New Roman"/>
          <w:sz w:val="24"/>
          <w:szCs w:val="24"/>
        </w:rPr>
        <w:t>nder que la violencia hacia la mujer, reviste varias formas de manifestación, es la razón de ser, de la presente investigación; Así mismo, de gran utilidad, serán los aportes doctrinarios y el desarrollo de diversas declaraciones, tratados y convenios inte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rnacionales destinados a erradicar la violencia de género, a efectos de comprender el amplio espectro de esta modalidad delictiva, el cual durante larga data, se vio fortalecida,  bajo el amparo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esteriotipos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socioculturales equivocados, colocando a la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ujer en grado de subordinación y vulneración social. </w:t>
      </w:r>
    </w:p>
    <w:p w14:paraId="00000010" w14:textId="77777777" w:rsidR="003A1999" w:rsidRDefault="00ED5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CONSIDERACIONES PRELIMINARES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0000011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El artículo primero de la Convención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Interamericana  para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Prevenir, Erradicar y Sancionar la Violencia contra la Mujer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define a la violencia contra la mujer: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“Cualquier 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cción o conducta basada en su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genero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que cause muerte, daño o sufrimiento físico, sexual o psicológico a la mujer, tanto en el ámbito público o privado”</w:t>
      </w:r>
      <w:r>
        <w:rPr>
          <w:rFonts w:ascii="Times New Roman" w:eastAsia="Times New Roman" w:hAnsi="Times New Roman" w:cs="Times New Roman"/>
          <w:sz w:val="24"/>
          <w:szCs w:val="24"/>
        </w:rPr>
        <w:t>.  Al respecto, resulta importante precisar, que este tipo de delito,  puede ser causado por una extern</w:t>
      </w:r>
      <w:r>
        <w:rPr>
          <w:rFonts w:ascii="Times New Roman" w:eastAsia="Times New Roman" w:hAnsi="Times New Roman" w:cs="Times New Roman"/>
          <w:sz w:val="24"/>
          <w:szCs w:val="24"/>
        </w:rPr>
        <w:t>alidad del agente activo, así mismo, por una  omisión o un dejar de hacer en contra del género femenino; En tal sentido, según el tenor de la Convención de Belém do Pará, la violencia ejercida en  contra de la mujer, puede ser de tal magnitud, que cause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muerte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>, el daño físico, sexual y psicológico, sin importar el escenario  donde materialice el delito.</w:t>
      </w:r>
    </w:p>
    <w:p w14:paraId="00000012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 Declaración sobre la Eliminación de la Violencia contra la Mujer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define a la violencia sobre la mujer como: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“Todo acto de violencia basado en el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genero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que tiene como resultado posible o real un daño físico, sexual o psicológico, incluidas las amenazas, la coerción o la privación arbitraria de la libertad, ya sea que ocurra en la vida pública o vida privada”</w:t>
      </w:r>
      <w:r>
        <w:rPr>
          <w:rFonts w:ascii="Times New Roman" w:eastAsia="Times New Roman" w:hAnsi="Times New Roman" w:cs="Times New Roman"/>
          <w:sz w:val="24"/>
          <w:szCs w:val="24"/>
        </w:rPr>
        <w:t>; Evidentemente, la presente definición,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obliga desarrollar el concepto género, en tal sentido, dicho termino es un resultado sociocultural, de muy antigua data, que permite esperar del hombre y de la mujer ciertos roles diferenciados, es así, que el hombre goza de ciertos privilegios sociales,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económicos y laborales, colocando en situación de subordinación a la mujer. Al respecto, el Protocolo Intersectorial de Acción frente al Feminicidio, Tentativa de Feminicidio y Violencia de Pareja de Alto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Riesgo,  sostiene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“Género es el conjunto de caract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erísticas sociales, culturales, políticas, jurídicas y económicas asignadas socialmente en función del sexo, y aprendidas durante el proceso de socialización. Determina lo que es esperado, permitido y valorado en una mujer o en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hombre. Por ser una const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rucción sociocultural, es específico de cada cultura y cambia a lo largo del tiempo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2et92p0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Así mismo, el literal h) del numeral 1) del artículo 7 (Crímenes de Lesa humanidad) del Estatuto de Roma de la Corte Penal Internacional, incorpora al termino género,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finiéndolo bajo el siguiente enunciado: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“Se refiere a dos sexos, masculino y femenino, en el contexto de la sociedad. El término género no tendrá más acepción que la que antecede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>”. En tal sentido, el término género, provoca la persistencia de un sistema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discriminación social,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denunciada por diversas declaraciones universales en materia de los derechos humanos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contraria al principio de igualdad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las  personas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4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María Luisa Maqueda Abreu,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“La violencia contra la mujer no es una cuestión biológica, ni doméstica, sino de género. Se trata de una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situación  de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discriminación intemporal que proviene de una estructura social de naturaleza patriarcal. Así el género se configura como resultado de 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 proceso de construcción social mediante el cual se le atribuyen simbólicamente las expectativas y valores que cada cultura otorga a sus varones y mujeres. Producto de ese aprendizaje de carácter machista, varones y mujeres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exhiben  los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roles e identidade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 que le han sido asignadas bajo la etiqueta  del género. De ahí el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dominio  de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lo masculino y la subalternidad de lo femenino constituyen los componentes ideales de  ese orden simbólico que definen las relaciones de poder de los hombres sobre las mujeres,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origen de la violencia de género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”. </w:t>
      </w:r>
      <w:r>
        <w:rPr>
          <w:rFonts w:ascii="Times New Roman" w:eastAsia="Times New Roman" w:hAnsi="Times New Roman" w:cs="Times New Roman"/>
          <w:sz w:val="24"/>
          <w:szCs w:val="24"/>
        </w:rPr>
        <w:t>Al respecto,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autora ratifica la génesis de la discriminación de género, precisando su origen social; En tal sentido, a lo largo de tiempo,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sociedad de diversas culturas han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construido roles de poder hacia el géner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masculino, el cual equivocadamente hizo gala de autoridad, mediante el abuso de poder contra el género femenino, desencadenando el empleo de la violencia como una forma de control. </w:t>
      </w:r>
    </w:p>
    <w:p w14:paraId="00000015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jurista español José Ramón Agustina, sostiene que la violencia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z w:val="24"/>
          <w:szCs w:val="24"/>
        </w:rPr>
        <w:t>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“Es la violencia que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surgue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 partir de un patrón de habitualidades y no de un mero incidente aislado. La violencia es ejercida por el varón sobre la mujer para controlarla y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someterla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Al respecto, resulta acertada la utilización del término: “Patr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ón de Habitualidades”, en tal sentido, dicho término comprende un conjunto de conductas aprendidas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  transmitidas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de generación en generación, entiéndase, patrón de conductas, que fortalecieron  con el paso del tiempo, la situación de subordinación del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exo femenino, frente al sexo masculino. Es así, que el género femenino, a lo largo de la historia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 humidad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fue considerada como un anexo o apéndice del hombre, así mismo, la parte más débil del matrimonio, la cual tenía como autoridad de familiar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esposo o patriarca. En tal sentido, una de las causas de la violencia de género, se origina por la demostración de poder y control del patriarca sobre la mujer. </w:t>
      </w:r>
    </w:p>
    <w:p w14:paraId="00000016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Así mismo,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Ramón Agustina, en su obra cita la definición de violencia doméstica elaborado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Asociación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Americana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Psicología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 “Un patrón de conductas abusivas que incluye un amplio rango de maltrato físico, sexual y psicológico, usado por una persona en una relación íntima contra otra, para ganar poder o para mantener el abuso de poder, co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ntrol y autoridad sobre esa persona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”. </w:t>
      </w:r>
      <w:r>
        <w:rPr>
          <w:rFonts w:ascii="Times New Roman" w:eastAsia="Times New Roman" w:hAnsi="Times New Roman" w:cs="Times New Roman"/>
          <w:sz w:val="24"/>
          <w:szCs w:val="24"/>
        </w:rPr>
        <w:t>Al respecto,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puede llegar a determinar que la violencia en todas sus manifestaciones, es el medio por el cual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 persona de sexo masculino fortalece su autoridad y control sobre una persona de sexo femenina, la 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por su posición de subordinación sufre un exceso o abuso de poder, el cual fue otorgado socialmente, mediante estereotipos estructurados. </w:t>
      </w:r>
    </w:p>
    <w:p w14:paraId="00000017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yjcwt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 xml:space="preserve">Finalmente, la relatora de las Naciones Unidas sobre la Violencia contra la Mujer,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manifestó: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“Se emp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lean los términos violencia de género, violencia basado en el género o violencia por razones de género, para poner de manifiesto que este tipo de violencia no está constituida por hechos aislados, sino que está asociada a la situación de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desigualdad de men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 poder y de desventaja de las mujeres respecto a los hombres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12"/>
      </w:r>
      <w:r>
        <w:rPr>
          <w:rFonts w:ascii="Times New Roman" w:eastAsia="Times New Roman" w:hAnsi="Times New Roman" w:cs="Times New Roman"/>
          <w:sz w:val="24"/>
          <w:szCs w:val="24"/>
        </w:rPr>
        <w:t>”; Al respecto,  la  notoria desigualdad y desventaja social de la mujer, son los denominadores comunes de  la  violencia de genero. Entiéndase, desigualdad que trasciende del ámbito familiar h</w:t>
      </w:r>
      <w:r>
        <w:rPr>
          <w:rFonts w:ascii="Times New Roman" w:eastAsia="Times New Roman" w:hAnsi="Times New Roman" w:cs="Times New Roman"/>
          <w:sz w:val="24"/>
          <w:szCs w:val="24"/>
        </w:rPr>
        <w:t>acia otros contextos sociales (laboral y económico). En tal sentido, el artículo 2 del Convenio 111 de la Organización Internacional del Trabajo de 1958, suprime toda forma de discriminación de la mujer, por tanto, obliga a los estados miembros de las Naci</w:t>
      </w:r>
      <w:r>
        <w:rPr>
          <w:rFonts w:ascii="Times New Roman" w:eastAsia="Times New Roman" w:hAnsi="Times New Roman" w:cs="Times New Roman"/>
          <w:sz w:val="24"/>
          <w:szCs w:val="24"/>
        </w:rPr>
        <w:t>ones Unidas, a desarrollar una política en contra de dicha discriminación, por medio de medidas de protección jurídica, bajo el principio universal de la igualdad de los hombres sin importar su género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8" w14:textId="77777777" w:rsidR="003A1999" w:rsidRDefault="00ED5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LA VIOLENCIA DE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GENERO  Y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SUS MODALIDADES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0000019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3dy6vkm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El artículo 8 de la Ley Nro. 30364: “Ley para Prevenir, Sancionar y Erradicar la Violencia contra las Mujeres y los integrantes del Grupo Familiar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4"/>
      </w:r>
      <w:r>
        <w:rPr>
          <w:rFonts w:ascii="Times New Roman" w:eastAsia="Times New Roman" w:hAnsi="Times New Roman" w:cs="Times New Roman"/>
          <w:sz w:val="24"/>
          <w:szCs w:val="24"/>
        </w:rPr>
        <w:t>”, describe cuatro tipos de violencia contra la mujer: violencia física, violencia psicológica, violencia sex</w:t>
      </w:r>
      <w:r>
        <w:rPr>
          <w:rFonts w:ascii="Times New Roman" w:eastAsia="Times New Roman" w:hAnsi="Times New Roman" w:cs="Times New Roman"/>
          <w:sz w:val="24"/>
          <w:szCs w:val="24"/>
        </w:rPr>
        <w:t>ual y violencia económica. Al respecto, se debe advertir, que la clasificación en referencia, resulta insuficiente, frente al amplio espectro de modalidades de violencia de género desarrollados por la doctrina y diversas normas que suprimen la violencia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ntra la mujer. </w:t>
      </w:r>
    </w:p>
    <w:p w14:paraId="0000001A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respecto a la violencia física, esta resulta ser definida: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“La acción o conducta, que causa daño a la integridad corporal o a la salud. Se incluye el maltrato por negligencia, descuido o por privación de las necesidades básicas, que hay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an ocasionado daño físico o que puedan llegar a ocasionarlo, sin importar el tiempo que se requiera para su recuperación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1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Al respecto, la violencia física será tipificada como delito, cuando el daño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causado requiera más de diez días de atención médica, e</w:t>
      </w:r>
      <w:r>
        <w:rPr>
          <w:rFonts w:ascii="Times New Roman" w:eastAsia="Times New Roman" w:hAnsi="Times New Roman" w:cs="Times New Roman"/>
          <w:sz w:val="24"/>
          <w:szCs w:val="24"/>
        </w:rPr>
        <w:t>ntiéndase, según lo prescrito por el artículo 122 del Código Penal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6"/>
      </w:r>
      <w:r>
        <w:rPr>
          <w:rFonts w:ascii="Times New Roman" w:eastAsia="Times New Roman" w:hAnsi="Times New Roman" w:cs="Times New Roman"/>
          <w:sz w:val="24"/>
          <w:szCs w:val="24"/>
        </w:rPr>
        <w:t>; Así mismo, cuando la lesión física requiera una atención médica menor a diez días, dicha agresión será considerada como falta, según prescripción del artículo 441 del código sustantivo; S</w:t>
      </w:r>
      <w:r>
        <w:rPr>
          <w:rFonts w:ascii="Times New Roman" w:eastAsia="Times New Roman" w:hAnsi="Times New Roman" w:cs="Times New Roman"/>
          <w:sz w:val="24"/>
          <w:szCs w:val="24"/>
        </w:rPr>
        <w:t>in embargo, si la lesión ocasionada no requiere más de diez días de atención médica, será considerada delito, siempre y cuando, sea cometida bajo circunstancias o medios que den gravedad al hecho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7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Ahora, la definición en referencia, prescribe tres modalid</w:t>
      </w:r>
      <w:r>
        <w:rPr>
          <w:rFonts w:ascii="Times New Roman" w:eastAsia="Times New Roman" w:hAnsi="Times New Roman" w:cs="Times New Roman"/>
          <w:sz w:val="24"/>
          <w:szCs w:val="24"/>
        </w:rPr>
        <w:t>ades de violencia física, el maltrato por negligencia,  el maltrato por descuido y el maltrato por privación de necesidades básicas; La primera modalidad obedece al incumplimiento del deber de cuidado por parte del agente activo, por ejemplo, negligencia e</w:t>
      </w:r>
      <w:r>
        <w:rPr>
          <w:rFonts w:ascii="Times New Roman" w:eastAsia="Times New Roman" w:hAnsi="Times New Roman" w:cs="Times New Roman"/>
          <w:sz w:val="24"/>
          <w:szCs w:val="24"/>
        </w:rPr>
        <w:t>n la higiene, en la nutrición  y en atenciones médicas; Así mismo, el maltrato por descuido, puede consistir en la exposición del sujeto pasivo al peligro en un contexto laboral o familiar; Finalmente, el maltrato por privación de necesidades básicas, cons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iste en el daño físico a causa de falta de alimentos, atención de salud y la ausencia de tratamiento médico.  </w:t>
      </w:r>
    </w:p>
    <w:p w14:paraId="0000001C" w14:textId="77777777" w:rsidR="003A1999" w:rsidRDefault="00ED5286">
      <w:pPr>
        <w:tabs>
          <w:tab w:val="left" w:pos="749"/>
        </w:tabs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Prosiguiendo, la violencia física, tiene un amplio espectro de materialización; En tal sentido, Castillo Aparicio sostiene: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“Este tipo de maltra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to implica un rango de agresiones muy amplio que va desde un empujón, hasta lesiones graves con secuelas permanentes o la muerte de la misma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18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Así, pues algunas de estas agresiones físicas consisten en forcejeos, empujones bofetadas, tracción de cabellos,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intentos de estrangulación,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tocerdura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brazos, golpes de puño, puntapiés, golpes con objetos, quemaduras, agresiones con armas de fuego o punzo- cortantes, hasta el homicidio… y obviamente, las consecuencias de este tipo de maltratos van desde hematomas,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laceraciones, equimosis,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heridas, fracturas, luxaciones, quemaduras, lesiones en órganos internos, hemorragias, abortos, hasta traumatismos craneoencefálicos y la muerte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19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14:paraId="0000001D" w14:textId="77777777" w:rsidR="003A1999" w:rsidRDefault="00ED5286">
      <w:pPr>
        <w:tabs>
          <w:tab w:val="left" w:pos="749"/>
        </w:tabs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Finalmente, Ramón Agustina, categoriza la violencia física de la siguiente manera: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“1) Levísima (cacheteos, empujones, pellizcos); 2) Leve (fracturas, golpes con objetos, heridas de arma blanca); 3) Moderada (lesiones que dejan cicatriz permanentemente y que ocasionan discapacidad temporal) y 4) Grave (pone en peligro la vida y deja les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ión permanente) y 5) Extrema (ocasiona la muerte)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20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77777777" w:rsidR="003A1999" w:rsidRDefault="00ED5286">
      <w:pPr>
        <w:tabs>
          <w:tab w:val="left" w:pos="749"/>
        </w:tabs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1t3h5sf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 xml:space="preserve">Con respecto a la violencia psicológica, esta resulta ser definida como: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“La acción o conducta, tendiente a controlar a aislar a la persona contra su voluntad, a humillarla o avergonzarla y que puede oc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asionar daños psíquicos. Daño psíquico es la afectación o alteración de algunas de las funciones mentales o capacidades de la persona, producida por un hechos o un conjunto de situaciones de violencia, que determina un menoscabo temporal o permanente, reve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rsible o irreversible del funcionamiento integral previo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1"/>
      </w:r>
      <w:r>
        <w:rPr>
          <w:rFonts w:ascii="Times New Roman" w:eastAsia="Times New Roman" w:hAnsi="Times New Roman" w:cs="Times New Roman"/>
          <w:sz w:val="24"/>
          <w:szCs w:val="24"/>
        </w:rPr>
        <w:t>”; Al respecto,  la norma en referencia, prescribe que la violencia psicológica será producto de la acción humana, sin embargo, cabe la posibilidad de afectar o agredir psicológicamente, mediante la omisión, consistente, en actos de vejación e indiferencia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calificados según el lenguaje popular como la “Ley del Hielo”; Ahora, la acción puede materializarse mediante la humillación y la ridiculización, los cuales podrán  originar un deterioro del autoestima y desarrollo de una inseguridad personal. </w:t>
      </w:r>
    </w:p>
    <w:p w14:paraId="0000001F" w14:textId="77777777" w:rsidR="003A1999" w:rsidRDefault="00ED5286">
      <w:pPr>
        <w:tabs>
          <w:tab w:val="left" w:pos="749"/>
        </w:tabs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Según 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ón Agustina: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“Este tipo de conductas van minando progresivamente la autoestima de la víctima, generando en ella un sentimiento de inseguridad y de escasa valía personal. En el contexto familiar, al tratarse el agresor de una persona que está cerca de la ví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ctima, conoce sus puntos débiles y sabe derribar sus defensas. Normalmente, es el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tipo de violencia que aparece en primer lugar”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2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Así mismo, el jurista peruano Reyna Alfaro, sostiene que la violencia psicológica: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“Suele iniciarse a través de bromas y acos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os para luego trasladar a los insultos y humillaciones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23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…. Como resultado de abuso doméstico, hace referencia a la depresión, baja autoestima, disfunciones sexuales, desórdenes alimenticios, desorden obsesivo compulsivo, estrés postraumático e incluso el su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icidio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24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0" w14:textId="77777777" w:rsidR="003A1999" w:rsidRDefault="00ED5286">
      <w:pPr>
        <w:tabs>
          <w:tab w:val="left" w:pos="749"/>
        </w:tabs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Finalmente, se debe tener en consideración, que toda violencia psicológica tiende a despreciar y desvalorizar a la víctima, así mismo, a ridiculizarla e humillarla con el propósito de destruir su autoestima; En tal sentido, puede materializarse,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medio de amenazas, insultos, intimidaciones, vejaciones e indiferencias; Al respecto, Castillo Aparicio, refiriéndose 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Diane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Follingstad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menciona las siguientes modalidades de violencia psicológica: 1) Ridiculización, humillación, amenazas e </w:t>
      </w:r>
      <w:r>
        <w:rPr>
          <w:rFonts w:ascii="Times New Roman" w:eastAsia="Times New Roman" w:hAnsi="Times New Roman" w:cs="Times New Roman"/>
          <w:sz w:val="24"/>
          <w:szCs w:val="24"/>
        </w:rPr>
        <w:t>insultos; 2) Aislamiento social y económico; 3) Celos y posesividad; 4) Amenazas verbales de maltrato, daño o tortura; 5) Amenazas repetidas de divorcio, de abandono o de tener aventuras y 6) Destrucción o daño de las propiedades personales a las que se ti</w:t>
      </w:r>
      <w:r>
        <w:rPr>
          <w:rFonts w:ascii="Times New Roman" w:eastAsia="Times New Roman" w:hAnsi="Times New Roman" w:cs="Times New Roman"/>
          <w:sz w:val="24"/>
          <w:szCs w:val="24"/>
        </w:rPr>
        <w:t>ene afecto y su  culpabilización de la víctima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6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7777777" w:rsidR="003A1999" w:rsidRDefault="00ED5286">
      <w:pPr>
        <w:tabs>
          <w:tab w:val="left" w:pos="749"/>
        </w:tabs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4d34og8" w:colFirst="0" w:colLast="0"/>
      <w:bookmarkEnd w:id="17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Ahora, con respecto a la violencia sexual, resulta ser definida como: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“Acciones de naturaleza sexual que se cometen contra una persona sin su consentimiento o bajo coacción. Incluyen actos que no involucran penetración o contacto físico alguno. Así mismo, se consideran tales la exposición a material pornográfico y que vulner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an el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derecho de las personas a decidir voluntariamente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acerca  de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su vida sexual o reproductiva, a través de amenazas, coerción, uso de la fuerza o intimidación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27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Al respecto, la violencia sexual, tiene dos modalidades: con penetración o contacto físico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sin penetración ni contacto físico; La primera modalidad, consiste en forzar a la mujer, mediante el empleo de amenaza, intimidación, coerción y fuerza, a la práctica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relaciones  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/o análogas, no deseadas. Así mismo, consiste en actos contra el pudor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la víctima, la cual, por su escala de valores, le resultan denigrantes o desagradables; La segunda modalidad, consiste en una serie de actos forzados realizados por la víctima, la cual provocan estimulación o gratificación sexual en el agente activo,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í  mismo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la mediante la materialización de estos actos, el agresor afirma su abuso de poder y control sobre la víctima.   </w:t>
      </w:r>
    </w:p>
    <w:p w14:paraId="00000022" w14:textId="77777777" w:rsidR="003A1999" w:rsidRDefault="00ED5286">
      <w:pPr>
        <w:tabs>
          <w:tab w:val="left" w:pos="749"/>
        </w:tabs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Ramón Agustina, sostiene: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“La violencia sexual en la familia puede abarcar prácticas como las siguientes: 1) Exigir o imponer una 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elación sexual y 2) Obligar a la víctima a prácticas que le resulten dolorosas, desagradables o que simplemente no deseen practicar.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28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Así mismo,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sostiene  que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 violencia sexual en menores de edad, puede consistir: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“1) Violación sexual (penetración anal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vaginal u oral); 2) Abuso sexual (tocamientos, de ser el caso, obligar al menor tocar al agresor; 3) Exposición a material pornográfico; 4) Obligar a presenciar una relación sexual entre adultos o de abuso sexual contra otro menor y 5) Grabación de actos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violencia sexual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29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3" w14:textId="77777777" w:rsidR="003A1999" w:rsidRDefault="00ED5286">
      <w:pPr>
        <w:tabs>
          <w:tab w:val="left" w:pos="749"/>
        </w:tabs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Ahora, resulta necesario precisar, que otra modalidad de violencia sexual, es el acoso sexual en todo ámbito, sea practicado en el seno familiar, laboral y/o público. Al respecto, Reategui Sánchez precisa: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“El acoso sexual dentro 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el ámbito familiar es una forma de violencia sexual y que es entendida como la manifestación de una serie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  conductas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compulsivas de solicitud de favores sexuales de distintas formas de proceder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30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dirigidas a un receptor contra su consentimiento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31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 Así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ismo,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Tenca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citado en la obra de Castillo Aparicio, precisa que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“el término acoso traduce la idea de perseguir, sin dar tregua, ni respiro, a una persona y trasladada al plano sexual conlleva la idea de hacerlo a fin de obtener un favor sexual. La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citada conducta puede ser ejercida en el entorno laboral en razón de la situación de inferioridad jurídica y económica en que se encuentran los dependientes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33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 Según las citas descritas, el denominador común del acoso sexual, consiste en la solicitud de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favor sexual, en tal sentido, dicha solicitud seria constante e incisivo al límite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atostigar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víctima, originando además una afectación psíquica y en algunas ocasiones somáticas. </w:t>
      </w:r>
    </w:p>
    <w:p w14:paraId="00000024" w14:textId="77777777" w:rsidR="003A1999" w:rsidRDefault="00ED5286">
      <w:pPr>
        <w:tabs>
          <w:tab w:val="left" w:pos="749"/>
        </w:tabs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Finalmente, la trata de personas con fines de explotación sexual,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ebe ser tratado en el presente apartado; En tal sentido, según Cubas Longa, la explotación sexual incluye: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“La explotación de la prostitución ajena, pornografía, pornografía infantil y el  turismo sexual infantil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3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”; Así mismo, la autora precisa, que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“media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nte la coerción, el tratante logra la sumisión de la víctima, suprimiendo su voluntad y logrando la privación de su libertad… se logra un gran control psicológico y físico sobre la víctima, llegando incluso al chantaje o la amenaza directa o sobre sus fami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liares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35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Al respecto, para la configuración, del presente tipo penal, no resulta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relevante  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consentimiento de la víctima, para la realización del trabajo sexual a favor del agente activo,  toda vez, que mediante coacción, fraude, engaño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 abuso de pode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se logra doblegar la voluntad de la parte agraviada, la cual con frecuencia se encuentra en situación de vulnerabilidad frente al explotador. </w:t>
      </w:r>
    </w:p>
    <w:p w14:paraId="00000025" w14:textId="77777777" w:rsidR="003A1999" w:rsidRDefault="00ED5286">
      <w:pPr>
        <w:tabs>
          <w:tab w:val="left" w:pos="749"/>
        </w:tabs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último, la violencia económica o patrimonial, es definida como: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 acción u omisión que se dirige a ocasionar un menoscabo en los recursos económicos o patrimoniales de cualquier persona, a través de: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 La perturbación de la posesión, tenencia o propiedad de sus bienes;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 La pérdida, sustracción, destrucción, retenci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ón o apropiación indebida de objetos, instrumentos de trabajo, documentos personales, bienes, valores y derechos patrimoniales;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 La limitación de los recursos económicos destinados a satisfacer sus necesidades o privación de los medios indispensables par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 vivir una vida digna; así como la evasión del cumplimiento de sus obligaciones alimentarias; y 4. la Limitación o control de sus ingresos, así como la percepción de un salario menor por igual tarea, dentro de un mismo lugar de trabajo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footnoteReference w:id="36"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respecto, este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tipo de violencia de género, resulta innovador, sin embargo, necesario y de gran utilidad a efectos de contrarrestar de manera amplia, toda acción nociva contra la mujer; teniendo en consideración, que el desarrollo de una cultura dominante y machista, 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podera al patriarca con facultades abusivas, que trascienden a la esfera económica conyugal, donde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este,  decide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impone  a la mujer,  la utilización de los bienes y recursos del hogar. </w:t>
      </w:r>
    </w:p>
    <w:p w14:paraId="00000026" w14:textId="77777777" w:rsidR="003A1999" w:rsidRDefault="00ED5286">
      <w:pPr>
        <w:tabs>
          <w:tab w:val="left" w:pos="749"/>
        </w:tabs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respecto, Castillo Aparicio sostiene: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“Implica el control abusivo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en la disposición y el manejo y los bienes materiales. Este tipo de violencia puede darse en todas las clases sociales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footnoteReference w:id="3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Así mismo, citando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Agustina, precisa: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“Se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trata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al fin y al cabo, de un subtipo de maltrato psicológico al mantenerse a la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ctima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subordinada al agresor, limitando su libertad de actuación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footnoteReference w:id="38"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”.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respecto, este tipo de violencia, afecta el desarrollo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personal y el derecho de disfrute de la mujer, vulnerándose derechos y obligaciones del matrimonio y de la convivencia; Así mismo,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puede materializar a través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infinitas  conductas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entiéndase, desde la limitación de los recursos económicos del hogar, hasta la prohibición de uso de ciertos bienes conyugales. Finalmente, cabe precisar, que este tipo de violencia, se manifiesta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 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negación de pensiones alimenticias, la perturbación sobre la posesión de bienes, la sustracción, destrucción de bienes y documentos personales de la víctima, entre otros, entiéndase, acciones que causan no sólo un menoscabo en el derecho de disfrute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la víctima, sino afecta su desarrollo personal originando daño psicológicos y en ocasiones somáticos. </w:t>
      </w:r>
    </w:p>
    <w:p w14:paraId="00000027" w14:textId="77777777" w:rsidR="003A1999" w:rsidRDefault="00ED5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CONCLUSIONES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00000028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violencia de género, es producto de lecciones aprendidas, construidas en un contexto sociocultural. Donde la sociedad al asignar diversos roles a cada sexo, coloca en grado de superioridad al varón o patriarca de familia; Así mismo, se limita el rol de </w:t>
      </w:r>
      <w:r>
        <w:rPr>
          <w:rFonts w:ascii="Times New Roman" w:eastAsia="Times New Roman" w:hAnsi="Times New Roman" w:cs="Times New Roman"/>
          <w:sz w:val="24"/>
          <w:szCs w:val="24"/>
        </w:rPr>
        <w:t>la mujer en el ámbito, familiar, social y económico, subordinándola y la ubicándola en una situación de vulnerabilidad.</w:t>
      </w:r>
    </w:p>
    <w:p w14:paraId="00000029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2s8eyo1" w:colFirst="0" w:colLast="0"/>
      <w:bookmarkEnd w:id="21"/>
      <w:r>
        <w:rPr>
          <w:rFonts w:ascii="Times New Roman" w:eastAsia="Times New Roman" w:hAnsi="Times New Roman" w:cs="Times New Roman"/>
          <w:sz w:val="24"/>
          <w:szCs w:val="24"/>
        </w:rPr>
        <w:t>Las libertades que la mujer viene conquistando de manera progresiva, en diversos ámbitos sociales, debilita la autoridad del varón; En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sentido, a efectos de salvaguardar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  grado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poder y control sobre la mujer, entiéndase, el varón ejercita diversos tipos de violencia doméstica,  culturalmente aceptadas. </w:t>
      </w:r>
    </w:p>
    <w:p w14:paraId="0000002A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violencia física, resulta la modalidad más visible de la violencia de géne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ro, teniendo como máximo grado de materialización el feminicidio; Así mismo, la violencia psicológica, por larga data, resultó impune en diversas legislaciones y ámbitos de justicia, sin embargo,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considerando el daño permanente y el menoscabo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 autoestim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la víctima, resulta pasible de sanción penal, con similar magnitud, que la violencia física.</w:t>
      </w:r>
    </w:p>
    <w:p w14:paraId="0000002B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violencia sexual, después del feminicidio, resulta ser, la modalidad de violencia de género, más devastadora para la víctima, entiéndase, simultáneamente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enera un daño físico y un daño psicológico, el cual puede resultar irreversible.  </w:t>
      </w:r>
    </w:p>
    <w:p w14:paraId="0000002C" w14:textId="77777777" w:rsidR="003A1999" w:rsidRDefault="00ED5286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violencia patrimonial, acertadamente, ha sido incorporado en nuestra legislación y sujeto de sanción; máxime, que la carencia de recursos financieros y de reales, limita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capacidad de goce y el buen desarrollo psicosomático de la víctima, al impedir la disposición y uso de los bienes conyugales. </w:t>
      </w:r>
    </w:p>
    <w:p w14:paraId="0000002D" w14:textId="77777777" w:rsidR="003A1999" w:rsidRDefault="003A1999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3A1999" w:rsidRDefault="00ED52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FUENTES DE INFORMACION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0000002F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CASTILLO APARICIO, Johnny: “Violencia contra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mujeres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los integrantes del grupo familiar”, Jurista Editores EIRL, Primera Edición, Lima, 2017.</w:t>
      </w:r>
    </w:p>
    <w:p w14:paraId="00000030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CUBAS LONGA, Ana María: “Trata de Personas – Buscando Respuestas”, Lima, 2,008.</w:t>
      </w:r>
    </w:p>
    <w:p w14:paraId="00000031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RAMON AGUSTINA, José: “Concep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clave, fenomenología, factores y estrategias en el marco de la violencia familiar”, en Violencia Intrafamiliar: Raíces, factores y formas de la violencia en el hogar, Editorial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Edisofer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Madrid, 2,010. </w:t>
      </w:r>
    </w:p>
    <w:p w14:paraId="00000032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REATEGUI SANCHEZ, James: “Derecho Penal Parte Espe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cial”, Ediciones Legales, Lima, 2016. </w:t>
      </w:r>
    </w:p>
    <w:p w14:paraId="00000033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REÁTEGUI SANCHEZ, James: “El Delito de Feminicidio en la Doctrina y la Jurisprudencia”, Editorial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Iustitia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Lima, 2017.</w:t>
      </w:r>
    </w:p>
    <w:p w14:paraId="00000034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REYNA ALFARO, Luis: “Delitos contra la familia y de violencia doméstica”, Jurista Editores, Lima,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2011.</w:t>
      </w:r>
    </w:p>
    <w:p w14:paraId="00000035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MAQUEDA ABREU, María: “La Violencia de Género. Entre el Concepto Jurídico y la Realidad Social” en Revista Electrónica de Ciencia Penal y Criminología Nro. 8. </w:t>
      </w:r>
    </w:p>
    <w:p w14:paraId="00000036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Tratados Internacionales y Normas legales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00000037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Ley Nro. 30364: “Ley para Prevenir, Sancionar y Erradicar la Violencia contra las Mujeres y los integrantes del Grupo Familiar”.</w:t>
      </w:r>
    </w:p>
    <w:p w14:paraId="00000038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La Convención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Interamericana  para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Prevenir, Erradicar y Sancionar la Violencia contra la Mujer (Convención de Belém do Pará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1996).</w:t>
      </w:r>
    </w:p>
    <w:p w14:paraId="00000039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Declaración sobre la Eliminación de la Violencia contra la Mujer de 1,994.</w:t>
      </w:r>
    </w:p>
    <w:p w14:paraId="0000003A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Convenio 111 de la Organización Internacional del Trabajo de 1,958.</w:t>
      </w:r>
    </w:p>
    <w:p w14:paraId="0000003B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Protocolo Intersectorial de Acción frente al Feminicidio, Tentativa de Feminicidio y Violencia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Pareja de Alto Riesgo, Lima, 2015, Pp. 17. </w:t>
      </w:r>
    </w:p>
    <w:p w14:paraId="0000003C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Estatuto de Roma de la Corte Penal Internacional de fecha 17 de julio de 1,998. </w:t>
      </w:r>
    </w:p>
    <w:p w14:paraId="0000003D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Declaración Universal de los Derechos Humanos de 1,948.</w:t>
      </w:r>
    </w:p>
    <w:p w14:paraId="0000003E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Informe  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Relatora Especial sobre la Violencia contra la 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jer de fecha 17 de enero del 2,007.</w:t>
      </w:r>
    </w:p>
    <w:p w14:paraId="0000003F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Convenio relativo a la Discriminación en Materia de empleo y Ocupación, realizado 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Ginebra  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de junio de 1,958. </w:t>
      </w:r>
    </w:p>
    <w:p w14:paraId="00000040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Código Penal de 1,991 (Artículos 108 – B, 122 y 441).</w:t>
      </w:r>
    </w:p>
    <w:p w14:paraId="00000041" w14:textId="77777777" w:rsidR="003A1999" w:rsidRDefault="003A19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2" w14:textId="77777777" w:rsidR="003A1999" w:rsidRDefault="003A19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3" w14:textId="77777777" w:rsidR="003A1999" w:rsidRDefault="003A19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44" w14:textId="77777777" w:rsidR="003A1999" w:rsidRDefault="003A19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45" w14:textId="77777777" w:rsidR="003A1999" w:rsidRDefault="003A19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46" w14:textId="77777777" w:rsidR="003A1999" w:rsidRDefault="003A19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7" w14:textId="77777777" w:rsidR="003A1999" w:rsidRDefault="003A19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8" w14:textId="77777777" w:rsidR="003A1999" w:rsidRDefault="003A199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A199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D689" w14:textId="77777777" w:rsidR="00ED5286" w:rsidRDefault="00ED5286">
      <w:pPr>
        <w:spacing w:after="0" w:line="240" w:lineRule="auto"/>
      </w:pPr>
      <w:r>
        <w:separator/>
      </w:r>
    </w:p>
  </w:endnote>
  <w:endnote w:type="continuationSeparator" w:id="0">
    <w:p w14:paraId="369B5683" w14:textId="77777777" w:rsidR="00ED5286" w:rsidRDefault="00ED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3EFA4" w14:textId="77777777" w:rsidR="00ED5286" w:rsidRDefault="00ED5286">
      <w:pPr>
        <w:spacing w:after="0" w:line="240" w:lineRule="auto"/>
      </w:pPr>
      <w:r>
        <w:separator/>
      </w:r>
    </w:p>
  </w:footnote>
  <w:footnote w:type="continuationSeparator" w:id="0">
    <w:p w14:paraId="7BE26E75" w14:textId="77777777" w:rsidR="00ED5286" w:rsidRDefault="00ED5286">
      <w:pPr>
        <w:spacing w:after="0" w:line="240" w:lineRule="auto"/>
      </w:pPr>
      <w:r>
        <w:continuationSeparator/>
      </w:r>
    </w:p>
  </w:footnote>
  <w:footnote w:id="1">
    <w:p w14:paraId="00000049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2" w:name="_17dp8vu" w:colFirst="0" w:colLast="0"/>
      <w:bookmarkEnd w:id="2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Ley para Prevenir, Sancionar y Erradicar la Violencia contra las Mujeres y los integrantes del Grupo Familiar</w:t>
      </w:r>
    </w:p>
  </w:footnote>
  <w:footnote w:id="2">
    <w:p w14:paraId="0000004A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Convención de Belém do Pará de 1996.</w:t>
      </w:r>
    </w:p>
  </w:footnote>
  <w:footnote w:id="3">
    <w:p w14:paraId="0000004B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Feminicidio: El presente término fluye por primera </w:t>
      </w:r>
      <w:proofErr w:type="gramStart"/>
      <w:r>
        <w:rPr>
          <w:color w:val="000000"/>
          <w:sz w:val="20"/>
          <w:szCs w:val="20"/>
        </w:rPr>
        <w:t>vez,  en</w:t>
      </w:r>
      <w:proofErr w:type="gramEnd"/>
      <w:r>
        <w:rPr>
          <w:color w:val="000000"/>
          <w:sz w:val="20"/>
          <w:szCs w:val="20"/>
        </w:rPr>
        <w:t xml:space="preserve"> la literatura internacional, en la  por la o</w:t>
      </w:r>
      <w:r>
        <w:rPr>
          <w:color w:val="000000"/>
          <w:sz w:val="20"/>
          <w:szCs w:val="20"/>
        </w:rPr>
        <w:t>bra “</w:t>
      </w:r>
      <w:proofErr w:type="spellStart"/>
      <w:r>
        <w:rPr>
          <w:color w:val="000000"/>
          <w:sz w:val="20"/>
          <w:szCs w:val="20"/>
        </w:rPr>
        <w:t>Femicide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Politics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Woman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Kiling</w:t>
      </w:r>
      <w:proofErr w:type="spellEnd"/>
      <w:r>
        <w:rPr>
          <w:color w:val="000000"/>
          <w:sz w:val="20"/>
          <w:szCs w:val="20"/>
        </w:rPr>
        <w:t xml:space="preserve">” de 1992, publicada por la socióloga sudafricana Diana </w:t>
      </w:r>
      <w:proofErr w:type="spellStart"/>
      <w:r>
        <w:rPr>
          <w:color w:val="000000"/>
          <w:sz w:val="20"/>
          <w:szCs w:val="20"/>
        </w:rPr>
        <w:t>Rusell</w:t>
      </w:r>
      <w:proofErr w:type="spellEnd"/>
      <w:r>
        <w:rPr>
          <w:color w:val="000000"/>
          <w:sz w:val="20"/>
          <w:szCs w:val="20"/>
        </w:rPr>
        <w:t xml:space="preserve"> y el norteamericano Jill Radford; sin embargo, la utilización de este término, data de 1974, por parte de Diana </w:t>
      </w:r>
      <w:proofErr w:type="spellStart"/>
      <w:r>
        <w:rPr>
          <w:color w:val="000000"/>
          <w:sz w:val="20"/>
          <w:szCs w:val="20"/>
        </w:rPr>
        <w:t>Rusell</w:t>
      </w:r>
      <w:proofErr w:type="spellEnd"/>
      <w:r>
        <w:rPr>
          <w:color w:val="000000"/>
          <w:sz w:val="20"/>
          <w:szCs w:val="20"/>
        </w:rPr>
        <w:t xml:space="preserve"> ante el Tribunal Internacional </w:t>
      </w:r>
      <w:r>
        <w:rPr>
          <w:color w:val="000000"/>
          <w:sz w:val="20"/>
          <w:szCs w:val="20"/>
        </w:rPr>
        <w:t xml:space="preserve">sobre Crímenes contra Mujeres. </w:t>
      </w:r>
    </w:p>
  </w:footnote>
  <w:footnote w:id="4">
    <w:p w14:paraId="0000004C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Aprobada por la Asamblea General de las Naciones </w:t>
      </w:r>
      <w:proofErr w:type="gramStart"/>
      <w:r>
        <w:rPr>
          <w:color w:val="000000"/>
          <w:sz w:val="20"/>
          <w:szCs w:val="20"/>
        </w:rPr>
        <w:t>Unidas  en</w:t>
      </w:r>
      <w:proofErr w:type="gramEnd"/>
      <w:r>
        <w:rPr>
          <w:color w:val="000000"/>
          <w:sz w:val="20"/>
          <w:szCs w:val="20"/>
        </w:rPr>
        <w:t xml:space="preserve"> 1994.</w:t>
      </w:r>
    </w:p>
  </w:footnote>
  <w:footnote w:id="5">
    <w:p w14:paraId="0000004D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Protocolo Intersectorial de Acción frente al Feminicidio, Tentativa de Feminicidio y Violencia de Pareja de Alto Riesgo, Lima, 2015, Pp. 17. </w:t>
      </w:r>
    </w:p>
  </w:footnote>
  <w:footnote w:id="6">
    <w:p w14:paraId="0000004E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Estatuto de Roma de la Corte Penal Internacional de fecha 17 de julio de 1,998. </w:t>
      </w:r>
    </w:p>
  </w:footnote>
  <w:footnote w:id="7">
    <w:p w14:paraId="0000004F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Declaración Universal de los Derechos Humanos de 1948: En tal sentido, </w:t>
      </w:r>
      <w:r>
        <w:rPr>
          <w:color w:val="000000"/>
          <w:sz w:val="20"/>
          <w:szCs w:val="20"/>
          <w:highlight w:val="white"/>
        </w:rPr>
        <w:t>los derechos humanos son “el reconocimiento de la dignidad inalienable de los seres humanos”, libre d</w:t>
      </w:r>
      <w:r>
        <w:rPr>
          <w:color w:val="000000"/>
          <w:sz w:val="20"/>
          <w:szCs w:val="20"/>
          <w:highlight w:val="white"/>
        </w:rPr>
        <w:t xml:space="preserve">e discriminación, desigualdad o distinciones de cualquier índole, la dignidad humana es universal, igual e inalienable </w:t>
      </w:r>
      <w:r>
        <w:rPr>
          <w:i/>
          <w:color w:val="000000"/>
          <w:sz w:val="20"/>
          <w:szCs w:val="20"/>
          <w:highlight w:val="white"/>
        </w:rPr>
        <w:t xml:space="preserve">(Definición extraída en </w:t>
      </w:r>
      <w:hyperlink r:id="rId1">
        <w:r>
          <w:rPr>
            <w:color w:val="0000FF"/>
            <w:sz w:val="20"/>
            <w:szCs w:val="20"/>
            <w:highlight w:val="white"/>
            <w:u w:val="single"/>
          </w:rPr>
          <w:t>www.humanium.org</w:t>
        </w:r>
      </w:hyperlink>
      <w:r>
        <w:rPr>
          <w:i/>
          <w:color w:val="000000"/>
          <w:sz w:val="20"/>
          <w:szCs w:val="20"/>
          <w:highlight w:val="white"/>
        </w:rPr>
        <w:t xml:space="preserve">). </w:t>
      </w:r>
    </w:p>
  </w:footnote>
  <w:footnote w:id="8">
    <w:p w14:paraId="00000050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Artículo 1 de la Declaración Universal de los De</w:t>
      </w:r>
      <w:r>
        <w:rPr>
          <w:color w:val="000000"/>
          <w:sz w:val="20"/>
          <w:szCs w:val="20"/>
        </w:rPr>
        <w:t xml:space="preserve">rechos Humanos, la cual textualmente reza: “Todos los seres humanos nacen libres e iguales en dignidad y derechos y, dotados como están de razón y conciencia, </w:t>
      </w:r>
      <w:r>
        <w:rPr>
          <w:i/>
          <w:color w:val="000000"/>
          <w:sz w:val="20"/>
          <w:szCs w:val="20"/>
        </w:rPr>
        <w:t>deben</w:t>
      </w:r>
      <w:r>
        <w:rPr>
          <w:color w:val="000000"/>
          <w:sz w:val="20"/>
          <w:szCs w:val="20"/>
        </w:rPr>
        <w:t xml:space="preserve"> comportarse fraternalmente los unos con los otros”.</w:t>
      </w:r>
    </w:p>
  </w:footnote>
  <w:footnote w:id="9">
    <w:p w14:paraId="00000051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MAQUEDA ABREU, </w:t>
      </w:r>
      <w:proofErr w:type="spellStart"/>
      <w:r>
        <w:rPr>
          <w:color w:val="000000"/>
          <w:sz w:val="20"/>
          <w:szCs w:val="20"/>
        </w:rPr>
        <w:t>MarÍa</w:t>
      </w:r>
      <w:proofErr w:type="spellEnd"/>
      <w:r>
        <w:rPr>
          <w:color w:val="000000"/>
          <w:sz w:val="20"/>
          <w:szCs w:val="20"/>
        </w:rPr>
        <w:t>: “La Violencia d</w:t>
      </w:r>
      <w:r>
        <w:rPr>
          <w:color w:val="000000"/>
          <w:sz w:val="20"/>
          <w:szCs w:val="20"/>
        </w:rPr>
        <w:t xml:space="preserve">e Género. Entre el Concepto Jurídico y la Realidad Social” en Revista Electrónica de Ciencia Penal y Criminología Nro. 8. </w:t>
      </w:r>
    </w:p>
  </w:footnote>
  <w:footnote w:id="10">
    <w:p w14:paraId="00000052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RAMON AGUSTINA, José: “Concepto clave, fenomenología, factores y estrategias en el marco de la violencia familiar”, en Violencia In</w:t>
      </w:r>
      <w:r>
        <w:rPr>
          <w:color w:val="000000"/>
          <w:sz w:val="20"/>
          <w:szCs w:val="20"/>
        </w:rPr>
        <w:t xml:space="preserve">trafamiliar: Raíces, factores y formas de la violencia en el hogar, Editorial </w:t>
      </w:r>
      <w:proofErr w:type="spellStart"/>
      <w:r>
        <w:rPr>
          <w:color w:val="000000"/>
          <w:sz w:val="20"/>
          <w:szCs w:val="20"/>
        </w:rPr>
        <w:t>Edisofer</w:t>
      </w:r>
      <w:proofErr w:type="spellEnd"/>
      <w:r>
        <w:rPr>
          <w:color w:val="000000"/>
          <w:sz w:val="20"/>
          <w:szCs w:val="20"/>
        </w:rPr>
        <w:t xml:space="preserve">, Madrid, 2,010, Pp.86. </w:t>
      </w:r>
    </w:p>
  </w:footnote>
  <w:footnote w:id="11">
    <w:p w14:paraId="00000053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7" w:name="_3rdcrjn" w:colFirst="0" w:colLast="0"/>
      <w:bookmarkEnd w:id="7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RAMON AGUSTINA, José: “Concepto clave, fenomenología, factores y estrategias en el marco de la violencia familiar”, en Violencia Intrafamiliar:</w:t>
      </w:r>
      <w:r>
        <w:rPr>
          <w:color w:val="000000"/>
          <w:sz w:val="20"/>
          <w:szCs w:val="20"/>
        </w:rPr>
        <w:t xml:space="preserve"> Raíces, factores y formas de la violencia en el hogar, Editorial </w:t>
      </w:r>
      <w:proofErr w:type="spellStart"/>
      <w:r>
        <w:rPr>
          <w:color w:val="000000"/>
          <w:sz w:val="20"/>
          <w:szCs w:val="20"/>
        </w:rPr>
        <w:t>Edisofer</w:t>
      </w:r>
      <w:proofErr w:type="spellEnd"/>
      <w:r>
        <w:rPr>
          <w:color w:val="000000"/>
          <w:sz w:val="20"/>
          <w:szCs w:val="20"/>
        </w:rPr>
        <w:t xml:space="preserve">, Madrid, 2,010, Pp.86. </w:t>
      </w:r>
    </w:p>
  </w:footnote>
  <w:footnote w:id="12">
    <w:p w14:paraId="00000054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Informe  de</w:t>
      </w:r>
      <w:proofErr w:type="gramEnd"/>
      <w:r>
        <w:rPr>
          <w:color w:val="000000"/>
          <w:sz w:val="20"/>
          <w:szCs w:val="20"/>
        </w:rPr>
        <w:t xml:space="preserve"> la Relatora Especial sobre la Violencia contra la Mujer de fecha 17 de enero del 2,007, párrafo 24, extraído de Reátegui </w:t>
      </w:r>
      <w:proofErr w:type="spellStart"/>
      <w:r>
        <w:rPr>
          <w:color w:val="000000"/>
          <w:sz w:val="20"/>
          <w:szCs w:val="20"/>
        </w:rPr>
        <w:t>Sanchez</w:t>
      </w:r>
      <w:proofErr w:type="spellEnd"/>
      <w:r>
        <w:rPr>
          <w:color w:val="000000"/>
          <w:sz w:val="20"/>
          <w:szCs w:val="20"/>
        </w:rPr>
        <w:t xml:space="preserve">, James: “El Delito de Feminicidio en la Doctrina y la Jurisprudencia”, Editorial </w:t>
      </w:r>
      <w:proofErr w:type="spellStart"/>
      <w:r>
        <w:rPr>
          <w:color w:val="000000"/>
          <w:sz w:val="20"/>
          <w:szCs w:val="20"/>
        </w:rPr>
        <w:t>Iustitia</w:t>
      </w:r>
      <w:proofErr w:type="spellEnd"/>
      <w:r>
        <w:rPr>
          <w:color w:val="000000"/>
          <w:sz w:val="20"/>
          <w:szCs w:val="20"/>
        </w:rPr>
        <w:t>, Lima, 2017, Pp.165.</w:t>
      </w:r>
    </w:p>
  </w:footnote>
  <w:footnote w:id="13">
    <w:p w14:paraId="00000055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</w:t>
      </w:r>
      <w:r>
        <w:rPr>
          <w:color w:val="000000"/>
          <w:sz w:val="20"/>
          <w:szCs w:val="20"/>
        </w:rPr>
        <w:t xml:space="preserve">onvenio relativo a la Discriminación en Materia de empleo y Ocupación, realizado en </w:t>
      </w:r>
      <w:proofErr w:type="gramStart"/>
      <w:r>
        <w:rPr>
          <w:color w:val="000000"/>
          <w:sz w:val="20"/>
          <w:szCs w:val="20"/>
        </w:rPr>
        <w:t>Ginebra  el</w:t>
      </w:r>
      <w:proofErr w:type="gramEnd"/>
      <w:r>
        <w:rPr>
          <w:color w:val="000000"/>
          <w:sz w:val="20"/>
          <w:szCs w:val="20"/>
        </w:rPr>
        <w:t xml:space="preserve"> 25 de junio de 1958. </w:t>
      </w:r>
    </w:p>
  </w:footnote>
  <w:footnote w:id="14">
    <w:p w14:paraId="00000056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Promulgada con fecha 22 de noviembre del 2,015, derogando la Ley Nro. 26260: “Ley de Protección frente a la Violencia Familiar”. </w:t>
      </w:r>
    </w:p>
  </w:footnote>
  <w:footnote w:id="15">
    <w:p w14:paraId="00000057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0" w:name="_26in1rg" w:colFirst="0" w:colLast="0"/>
      <w:bookmarkEnd w:id="10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Lite</w:t>
      </w:r>
      <w:r>
        <w:rPr>
          <w:color w:val="000000"/>
          <w:sz w:val="20"/>
          <w:szCs w:val="20"/>
        </w:rPr>
        <w:t xml:space="preserve">ral a) del artículo 8, </w:t>
      </w:r>
      <w:proofErr w:type="gramStart"/>
      <w:r>
        <w:rPr>
          <w:color w:val="000000"/>
          <w:sz w:val="20"/>
          <w:szCs w:val="20"/>
        </w:rPr>
        <w:t>de  la</w:t>
      </w:r>
      <w:proofErr w:type="gramEnd"/>
      <w:r>
        <w:rPr>
          <w:color w:val="000000"/>
          <w:sz w:val="20"/>
          <w:szCs w:val="20"/>
        </w:rPr>
        <w:t xml:space="preserve"> Ley Nro. 30364.</w:t>
      </w:r>
    </w:p>
  </w:footnote>
  <w:footnote w:id="16">
    <w:p w14:paraId="00000058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En tal sentido, según el literal c) del numeral 3, del artículo 122, la pena a imponerse por el delito de lesiones leves, bajo el contexto de violencia familiar, será no menor de tres años, ni mayor del seis </w:t>
      </w:r>
      <w:r>
        <w:rPr>
          <w:color w:val="000000"/>
          <w:sz w:val="20"/>
          <w:szCs w:val="20"/>
        </w:rPr>
        <w:t xml:space="preserve">años de pena privativa de la libertad. </w:t>
      </w:r>
    </w:p>
  </w:footnote>
  <w:footnote w:id="17">
    <w:p w14:paraId="00000059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Por </w:t>
      </w:r>
      <w:proofErr w:type="gramStart"/>
      <w:r>
        <w:rPr>
          <w:color w:val="000000"/>
          <w:sz w:val="20"/>
          <w:szCs w:val="20"/>
        </w:rPr>
        <w:t>ejemplo</w:t>
      </w:r>
      <w:proofErr w:type="gramEnd"/>
      <w:r>
        <w:rPr>
          <w:color w:val="000000"/>
          <w:sz w:val="20"/>
          <w:szCs w:val="20"/>
        </w:rPr>
        <w:t xml:space="preserve"> el empleo de objetos contundentes (botellas, palos de escoba, fierros de construcción, etc.), o el empleo de objetos con punta y filo. </w:t>
      </w:r>
    </w:p>
  </w:footnote>
  <w:footnote w:id="18">
    <w:p w14:paraId="0000005A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Feminicidio,  prescrito</w:t>
      </w:r>
      <w:proofErr w:type="gramEnd"/>
      <w:r>
        <w:rPr>
          <w:color w:val="000000"/>
          <w:sz w:val="20"/>
          <w:szCs w:val="20"/>
        </w:rPr>
        <w:t xml:space="preserve"> en el artículo 108 – B del Código Penal.</w:t>
      </w:r>
    </w:p>
  </w:footnote>
  <w:footnote w:id="19">
    <w:p w14:paraId="0000005B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1" w:name="_lnxbz9" w:colFirst="0" w:colLast="0"/>
      <w:bookmarkEnd w:id="11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CASTILLO APARICIO, Johnny: “Violencia contra </w:t>
      </w:r>
      <w:proofErr w:type="gramStart"/>
      <w:r>
        <w:rPr>
          <w:color w:val="000000"/>
          <w:sz w:val="20"/>
          <w:szCs w:val="20"/>
        </w:rPr>
        <w:t>la mujeres</w:t>
      </w:r>
      <w:proofErr w:type="gramEnd"/>
      <w:r>
        <w:rPr>
          <w:color w:val="000000"/>
          <w:sz w:val="20"/>
          <w:szCs w:val="20"/>
        </w:rPr>
        <w:t xml:space="preserve"> y los integrantes del grupo familiar”, Jurista Editores EIRL, Primera Edición, Lima, 2017, Pp. 37</w:t>
      </w:r>
    </w:p>
  </w:footnote>
  <w:footnote w:id="20">
    <w:p w14:paraId="0000005C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12" w:name="_35nkun2" w:colFirst="0" w:colLast="0"/>
      <w:bookmarkEnd w:id="12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RAMON AGUSTINA, José: “Concepto clave, fenomenología, factores y estrategias en el marco de la vi</w:t>
      </w:r>
      <w:r>
        <w:rPr>
          <w:color w:val="000000"/>
          <w:sz w:val="20"/>
          <w:szCs w:val="20"/>
        </w:rPr>
        <w:t xml:space="preserve">olencia familiar”, en Violencia Intrafamiliar: Raíces, factores y formas de la violencia en el hogar, Editorial </w:t>
      </w:r>
      <w:proofErr w:type="spellStart"/>
      <w:r>
        <w:rPr>
          <w:color w:val="000000"/>
          <w:sz w:val="20"/>
          <w:szCs w:val="20"/>
        </w:rPr>
        <w:t>Edisofer</w:t>
      </w:r>
      <w:proofErr w:type="spellEnd"/>
      <w:r>
        <w:rPr>
          <w:color w:val="000000"/>
          <w:sz w:val="20"/>
          <w:szCs w:val="20"/>
        </w:rPr>
        <w:t xml:space="preserve">, Madrid, 2,010, Pp.88. </w:t>
      </w:r>
    </w:p>
  </w:footnote>
  <w:footnote w:id="21">
    <w:p w14:paraId="0000005D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4" w:name="_1ksv4uv" w:colFirst="0" w:colLast="0"/>
      <w:bookmarkEnd w:id="14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Literal b) del artículo 8, de la Ley Nro. 30364.</w:t>
      </w:r>
    </w:p>
  </w:footnote>
  <w:footnote w:id="22">
    <w:p w14:paraId="0000005E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15" w:name="_44sinio" w:colFirst="0" w:colLast="0"/>
      <w:bookmarkEnd w:id="15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RAMON AGUSTINA, José: “Concepto clave, fenomenología, fact</w:t>
      </w:r>
      <w:r>
        <w:rPr>
          <w:color w:val="000000"/>
          <w:sz w:val="20"/>
          <w:szCs w:val="20"/>
        </w:rPr>
        <w:t xml:space="preserve">ores y estrategias en el marco de la violencia familiar”, en Violencia Intrafamiliar: Raíces, factores y formas de la violencia en el hogar, Editorial </w:t>
      </w:r>
      <w:proofErr w:type="spellStart"/>
      <w:r>
        <w:rPr>
          <w:color w:val="000000"/>
          <w:sz w:val="20"/>
          <w:szCs w:val="20"/>
        </w:rPr>
        <w:t>Edisofer</w:t>
      </w:r>
      <w:proofErr w:type="spellEnd"/>
      <w:r>
        <w:rPr>
          <w:color w:val="000000"/>
          <w:sz w:val="20"/>
          <w:szCs w:val="20"/>
        </w:rPr>
        <w:t xml:space="preserve">, Madrid, 2,010, Pp.88. </w:t>
      </w:r>
    </w:p>
  </w:footnote>
  <w:footnote w:id="23">
    <w:p w14:paraId="0000005F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6" w:name="_2jxsxqh" w:colFirst="0" w:colLast="0"/>
      <w:bookmarkEnd w:id="16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REYNA ALFARO, Luis: “Delitos contra la familia y de violencia doméstic</w:t>
      </w:r>
      <w:r>
        <w:rPr>
          <w:color w:val="000000"/>
          <w:sz w:val="20"/>
          <w:szCs w:val="20"/>
        </w:rPr>
        <w:t xml:space="preserve">a”, Jurista Editores, Lima, 2011, Pp. 280. </w:t>
      </w:r>
    </w:p>
  </w:footnote>
  <w:footnote w:id="24">
    <w:p w14:paraId="00000060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REYNA ALFARO, Luis: “Delitos contra la familia y de violencia doméstica”, Jurista Editores, Lima, 2011, Pp. 281. </w:t>
      </w:r>
    </w:p>
  </w:footnote>
  <w:footnote w:id="25">
    <w:p w14:paraId="00000061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Profesora de Psicología Forense de la Universidad de Kentucky.</w:t>
      </w:r>
    </w:p>
  </w:footnote>
  <w:footnote w:id="26">
    <w:p w14:paraId="00000062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CASTILLO APARICIO, Johnny: “</w:t>
      </w:r>
      <w:r>
        <w:rPr>
          <w:color w:val="000000"/>
          <w:sz w:val="20"/>
          <w:szCs w:val="20"/>
        </w:rPr>
        <w:t xml:space="preserve">Violencia contra </w:t>
      </w:r>
      <w:proofErr w:type="gramStart"/>
      <w:r>
        <w:rPr>
          <w:color w:val="000000"/>
          <w:sz w:val="20"/>
          <w:szCs w:val="20"/>
        </w:rPr>
        <w:t>la mujeres</w:t>
      </w:r>
      <w:proofErr w:type="gramEnd"/>
      <w:r>
        <w:rPr>
          <w:color w:val="000000"/>
          <w:sz w:val="20"/>
          <w:szCs w:val="20"/>
        </w:rPr>
        <w:t xml:space="preserve"> y los integrantes del grupo familiar”, Jurista Editores EIRL, Primera Edición, Lima, 2017, Pp. 41-42.</w:t>
      </w:r>
    </w:p>
  </w:footnote>
  <w:footnote w:id="27">
    <w:p w14:paraId="00000063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8" w:name="_z337ya" w:colFirst="0" w:colLast="0"/>
      <w:bookmarkEnd w:id="18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Literal c) del artículo 8, de la Ley Nro. 30364.</w:t>
      </w:r>
    </w:p>
  </w:footnote>
  <w:footnote w:id="28">
    <w:p w14:paraId="00000064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RAMON AGUSTINA, José: “Concepto clave, fenomenología, factores y estrateg</w:t>
      </w:r>
      <w:r>
        <w:rPr>
          <w:color w:val="000000"/>
          <w:sz w:val="20"/>
          <w:szCs w:val="20"/>
        </w:rPr>
        <w:t xml:space="preserve">ias en el marco de la violencia familiar”, en Violencia Intrafamiliar: Raíces, factores y formas de la violencia en el hogar, Editorial </w:t>
      </w:r>
      <w:proofErr w:type="spellStart"/>
      <w:r>
        <w:rPr>
          <w:color w:val="000000"/>
          <w:sz w:val="20"/>
          <w:szCs w:val="20"/>
        </w:rPr>
        <w:t>Edisofer</w:t>
      </w:r>
      <w:proofErr w:type="spellEnd"/>
      <w:r>
        <w:rPr>
          <w:color w:val="000000"/>
          <w:sz w:val="20"/>
          <w:szCs w:val="20"/>
        </w:rPr>
        <w:t>, Madrid, 2,010, Pp.89.</w:t>
      </w:r>
    </w:p>
  </w:footnote>
  <w:footnote w:id="29">
    <w:p w14:paraId="00000065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RAMON AGUSTINA, José: “Concepto clave, fenomenología, factores y estrategias en el mar</w:t>
      </w:r>
      <w:r>
        <w:rPr>
          <w:color w:val="000000"/>
          <w:sz w:val="20"/>
          <w:szCs w:val="20"/>
        </w:rPr>
        <w:t xml:space="preserve">co de la violencia familiar”, en Violencia Intrafamiliar: Raíces, factores y formas de la violencia en el hogar, Editorial </w:t>
      </w:r>
      <w:proofErr w:type="spellStart"/>
      <w:r>
        <w:rPr>
          <w:color w:val="000000"/>
          <w:sz w:val="20"/>
          <w:szCs w:val="20"/>
        </w:rPr>
        <w:t>Edisofer</w:t>
      </w:r>
      <w:proofErr w:type="spellEnd"/>
      <w:r>
        <w:rPr>
          <w:color w:val="000000"/>
          <w:sz w:val="20"/>
          <w:szCs w:val="20"/>
        </w:rPr>
        <w:t>, Madrid, 2,010, Pp.90.</w:t>
      </w:r>
    </w:p>
  </w:footnote>
  <w:footnote w:id="30">
    <w:p w14:paraId="00000066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El autor cita como ejemplos, la proposición contra la víctima, de </w:t>
      </w:r>
      <w:proofErr w:type="gramStart"/>
      <w:r>
        <w:rPr>
          <w:color w:val="000000"/>
          <w:sz w:val="20"/>
          <w:szCs w:val="20"/>
        </w:rPr>
        <w:t>permitir  ver</w:t>
      </w:r>
      <w:proofErr w:type="gramEnd"/>
      <w:r>
        <w:rPr>
          <w:color w:val="000000"/>
          <w:sz w:val="20"/>
          <w:szCs w:val="20"/>
        </w:rPr>
        <w:t xml:space="preserve"> a sus menores hijos</w:t>
      </w:r>
      <w:r>
        <w:rPr>
          <w:color w:val="000000"/>
          <w:sz w:val="20"/>
          <w:szCs w:val="20"/>
        </w:rPr>
        <w:t xml:space="preserve">, a cambio de mantener relaciones sexuales; y de cumplir con  la pensión de alimentos, siempre y cuando la madre acceso a mantener relaciones sexuales con el padre de los menores. </w:t>
      </w:r>
    </w:p>
  </w:footnote>
  <w:footnote w:id="31">
    <w:p w14:paraId="00000067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REATEGUI SANCHEZ, James: “Derecho Penal Parte Especial, Pp. 39.</w:t>
      </w:r>
    </w:p>
  </w:footnote>
  <w:footnote w:id="32">
    <w:p w14:paraId="00000068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 de la obra: “Delito de Acoso Sexual”, Ediciones La Rosa, Buenos Aires, 2,009. </w:t>
      </w:r>
    </w:p>
  </w:footnote>
  <w:footnote w:id="33">
    <w:p w14:paraId="00000069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9" w:name="_3j2qqm3" w:colFirst="0" w:colLast="0"/>
      <w:bookmarkEnd w:id="19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CASTILLO APARICIO, Johnny: “Violencia contra </w:t>
      </w:r>
      <w:proofErr w:type="gramStart"/>
      <w:r>
        <w:rPr>
          <w:color w:val="000000"/>
          <w:sz w:val="20"/>
          <w:szCs w:val="20"/>
        </w:rPr>
        <w:t>la mujeres</w:t>
      </w:r>
      <w:proofErr w:type="gramEnd"/>
      <w:r>
        <w:rPr>
          <w:color w:val="000000"/>
          <w:sz w:val="20"/>
          <w:szCs w:val="20"/>
        </w:rPr>
        <w:t xml:space="preserve"> y los integrantes del grupo familiar”, Jurista Editores EIRL, Primera Edición, Lima, 2017, Pp. 46.</w:t>
      </w:r>
    </w:p>
  </w:footnote>
  <w:footnote w:id="34">
    <w:p w14:paraId="0000006A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20" w:name="_1y810tw" w:colFirst="0" w:colLast="0"/>
      <w:bookmarkEnd w:id="20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CUBAS LONGA</w:t>
      </w:r>
      <w:r>
        <w:rPr>
          <w:color w:val="000000"/>
          <w:sz w:val="20"/>
          <w:szCs w:val="20"/>
        </w:rPr>
        <w:t>, Ana María: “Trata de Personas – Buscando Respuestas”, Lima, 2,008, Pp. 46-47.</w:t>
      </w:r>
    </w:p>
  </w:footnote>
  <w:footnote w:id="35">
    <w:p w14:paraId="0000006B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CUBAS LONGA, Ana María: “Trata de Personas – Buscando Respuestas”, Lima, 2,008, Pp. 44.</w:t>
      </w:r>
    </w:p>
  </w:footnote>
  <w:footnote w:id="36">
    <w:p w14:paraId="0000006C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Literal d) del artículo 8, de la Ley Nro. 30364.</w:t>
      </w:r>
    </w:p>
    <w:p w14:paraId="0000006D" w14:textId="77777777" w:rsidR="003A1999" w:rsidRDefault="003A19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37">
    <w:p w14:paraId="0000006E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CASTILLO APARICIO, Johnny: “Viol</w:t>
      </w:r>
      <w:r>
        <w:rPr>
          <w:color w:val="000000"/>
          <w:sz w:val="20"/>
          <w:szCs w:val="20"/>
        </w:rPr>
        <w:t xml:space="preserve">encia contra </w:t>
      </w:r>
      <w:proofErr w:type="gramStart"/>
      <w:r>
        <w:rPr>
          <w:color w:val="000000"/>
          <w:sz w:val="20"/>
          <w:szCs w:val="20"/>
        </w:rPr>
        <w:t>la mujeres</w:t>
      </w:r>
      <w:proofErr w:type="gramEnd"/>
      <w:r>
        <w:rPr>
          <w:color w:val="000000"/>
          <w:sz w:val="20"/>
          <w:szCs w:val="20"/>
        </w:rPr>
        <w:t xml:space="preserve"> y los integrantes del grupo familiar”, Jurista Editores EIRL, Primera Edición, Lima, 2017, Pp. 65.</w:t>
      </w:r>
    </w:p>
  </w:footnote>
  <w:footnote w:id="38">
    <w:p w14:paraId="0000006F" w14:textId="77777777" w:rsidR="003A1999" w:rsidRDefault="00ED52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RAMON AGUSTINA, José: “Concepto clave, fenomenología, factores y estrategias en el marco de la violencia familiar”, en Violencia In</w:t>
      </w:r>
      <w:r>
        <w:rPr>
          <w:color w:val="000000"/>
          <w:sz w:val="20"/>
          <w:szCs w:val="20"/>
        </w:rPr>
        <w:t xml:space="preserve">trafamiliar: Raíces, factores y formas de la violencia en el hogar, Editorial </w:t>
      </w:r>
      <w:proofErr w:type="spellStart"/>
      <w:r>
        <w:rPr>
          <w:color w:val="000000"/>
          <w:sz w:val="20"/>
          <w:szCs w:val="20"/>
        </w:rPr>
        <w:t>Edisofer</w:t>
      </w:r>
      <w:proofErr w:type="spellEnd"/>
      <w:r>
        <w:rPr>
          <w:color w:val="000000"/>
          <w:sz w:val="20"/>
          <w:szCs w:val="20"/>
        </w:rPr>
        <w:t xml:space="preserve">, Madrid, 2,010, Pp.90. Citado por CASTILLO APARICIO, Johnny: “Violencia contra </w:t>
      </w:r>
      <w:proofErr w:type="gramStart"/>
      <w:r>
        <w:rPr>
          <w:color w:val="000000"/>
          <w:sz w:val="20"/>
          <w:szCs w:val="20"/>
        </w:rPr>
        <w:t>la mujeres</w:t>
      </w:r>
      <w:proofErr w:type="gramEnd"/>
      <w:r>
        <w:rPr>
          <w:color w:val="000000"/>
          <w:sz w:val="20"/>
          <w:szCs w:val="20"/>
        </w:rPr>
        <w:t xml:space="preserve"> y los integrantes del grupo familiar”, Pp. 65.</w:t>
      </w:r>
    </w:p>
    <w:p w14:paraId="00000070" w14:textId="77777777" w:rsidR="003A1999" w:rsidRDefault="003A19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71" w14:textId="77777777" w:rsidR="003A1999" w:rsidRDefault="003A19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B7304"/>
    <w:multiLevelType w:val="multilevel"/>
    <w:tmpl w:val="84D0A8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99"/>
    <w:rsid w:val="003A1999"/>
    <w:rsid w:val="009B26B2"/>
    <w:rsid w:val="00AE3E7E"/>
    <w:rsid w:val="00ED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58EA47-E307-40F7-B4B5-4207A05D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i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3871</Words>
  <Characters>21295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2022-02-14T20:46:00Z</dcterms:created>
  <dcterms:modified xsi:type="dcterms:W3CDTF">2022-02-14T20:46:00Z</dcterms:modified>
</cp:coreProperties>
</file>