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FD3EF" w14:textId="77777777" w:rsidR="00262147" w:rsidRDefault="00262147" w:rsidP="00530A8F">
      <w:pPr>
        <w:ind w:firstLine="0"/>
        <w:jc w:val="center"/>
        <w:rPr>
          <w:rFonts w:cs="Times New Roman"/>
          <w:b/>
          <w:szCs w:val="24"/>
        </w:rPr>
      </w:pPr>
      <w:r w:rsidRPr="00262147">
        <w:rPr>
          <w:rFonts w:cs="Times New Roman"/>
          <w:b/>
          <w:szCs w:val="24"/>
        </w:rPr>
        <w:t>IMPACTO DEL USO DEL RADIOFÁRMACO [18F] FLUDESOXIGLUCOSA EN LOS PACIENTES ONCOLÓGICOS DEL HOSPITAL GUILLERMO ALMENARA IRIGOYEN</w:t>
      </w:r>
    </w:p>
    <w:p w14:paraId="242BA768" w14:textId="77777777" w:rsidR="00262147" w:rsidRDefault="00262147" w:rsidP="00530A8F">
      <w:pPr>
        <w:ind w:firstLine="0"/>
        <w:jc w:val="center"/>
        <w:rPr>
          <w:rFonts w:cs="Times New Roman"/>
          <w:bCs/>
          <w:lang w:val="en-US"/>
        </w:rPr>
      </w:pPr>
      <w:r w:rsidRPr="00262147">
        <w:rPr>
          <w:rFonts w:cs="Times New Roman"/>
          <w:bCs/>
          <w:lang w:val="en-US"/>
        </w:rPr>
        <w:t xml:space="preserve">Impact of the use of the radiopharmaceutical [18F] </w:t>
      </w:r>
      <w:proofErr w:type="spellStart"/>
      <w:r w:rsidRPr="00262147">
        <w:rPr>
          <w:rFonts w:cs="Times New Roman"/>
          <w:bCs/>
          <w:lang w:val="en-US"/>
        </w:rPr>
        <w:t>fludeoxyglucose</w:t>
      </w:r>
      <w:proofErr w:type="spellEnd"/>
      <w:r w:rsidRPr="00262147">
        <w:rPr>
          <w:rFonts w:cs="Times New Roman"/>
          <w:bCs/>
          <w:lang w:val="en-US"/>
        </w:rPr>
        <w:t xml:space="preserve"> in cancer patients at the Guillermo Almenara Irigoyen Hospital</w:t>
      </w:r>
    </w:p>
    <w:p w14:paraId="69666862" w14:textId="507B45A5" w:rsidR="003F28B9" w:rsidRPr="00262147" w:rsidRDefault="003F28B9" w:rsidP="00530A8F">
      <w:pPr>
        <w:ind w:firstLine="0"/>
        <w:jc w:val="center"/>
        <w:rPr>
          <w:rFonts w:cs="Times New Roman"/>
          <w:b/>
          <w:bCs/>
          <w:szCs w:val="24"/>
        </w:rPr>
      </w:pPr>
      <w:r w:rsidRPr="00262147">
        <w:rPr>
          <w:rFonts w:cs="Times New Roman"/>
          <w:b/>
          <w:bCs/>
          <w:szCs w:val="24"/>
        </w:rPr>
        <w:t>Universidad Nacional Federico Villarreal</w:t>
      </w:r>
    </w:p>
    <w:p w14:paraId="4017C31B" w14:textId="39D07748" w:rsidR="00D05FAA" w:rsidRDefault="00262147" w:rsidP="00262147">
      <w:pPr>
        <w:ind w:firstLine="0"/>
        <w:jc w:val="center"/>
        <w:rPr>
          <w:rFonts w:cs="Times New Roman"/>
          <w:szCs w:val="24"/>
        </w:rPr>
      </w:pPr>
      <w:bookmarkStart w:id="0" w:name="_GoBack"/>
      <w:r w:rsidRPr="00262147">
        <w:rPr>
          <w:rFonts w:cs="Times New Roman"/>
          <w:szCs w:val="24"/>
        </w:rPr>
        <w:t xml:space="preserve">Vila Porras, Gumercindo </w:t>
      </w:r>
      <w:r w:rsidRPr="00262147">
        <w:rPr>
          <w:rFonts w:cs="Times New Roman"/>
          <w:szCs w:val="24"/>
        </w:rPr>
        <w:t>Raúl</w:t>
      </w:r>
    </w:p>
    <w:bookmarkEnd w:id="0"/>
    <w:p w14:paraId="0D7CE897" w14:textId="77777777" w:rsidR="00262147" w:rsidRPr="00D05FAA" w:rsidRDefault="00262147" w:rsidP="00262147">
      <w:pPr>
        <w:ind w:firstLine="0"/>
        <w:jc w:val="center"/>
        <w:rPr>
          <w:rFonts w:cs="Times New Roman"/>
          <w:b/>
          <w:szCs w:val="24"/>
        </w:rPr>
      </w:pPr>
    </w:p>
    <w:p w14:paraId="733C41FB" w14:textId="078979F1" w:rsidR="003F28B9" w:rsidRPr="00D05FAA" w:rsidRDefault="003F28B9" w:rsidP="00DB6CD8">
      <w:pPr>
        <w:ind w:firstLine="0"/>
        <w:rPr>
          <w:rFonts w:cs="Times New Roman"/>
          <w:b/>
          <w:szCs w:val="24"/>
        </w:rPr>
      </w:pPr>
      <w:r w:rsidRPr="00D05FAA">
        <w:rPr>
          <w:rFonts w:cs="Times New Roman"/>
          <w:b/>
          <w:szCs w:val="24"/>
        </w:rPr>
        <w:t>RESUMEN</w:t>
      </w:r>
    </w:p>
    <w:p w14:paraId="14BC2AB7" w14:textId="77777777" w:rsidR="00262147" w:rsidRPr="00262147" w:rsidRDefault="00262147" w:rsidP="00262147">
      <w:pPr>
        <w:rPr>
          <w:rFonts w:cs="Times New Roman"/>
          <w:szCs w:val="24"/>
        </w:rPr>
      </w:pPr>
      <w:r w:rsidRPr="00262147">
        <w:rPr>
          <w:rFonts w:cs="Times New Roman"/>
          <w:szCs w:val="24"/>
        </w:rPr>
        <w:t>Objetivo: Determinar el impacto del radiofármaco [18F]</w:t>
      </w:r>
      <w:proofErr w:type="spellStart"/>
      <w:r w:rsidRPr="00262147">
        <w:rPr>
          <w:rFonts w:cs="Times New Roman"/>
          <w:szCs w:val="24"/>
        </w:rPr>
        <w:t>fludesoxiglucosa</w:t>
      </w:r>
      <w:proofErr w:type="spellEnd"/>
      <w:r w:rsidRPr="00262147">
        <w:rPr>
          <w:rFonts w:cs="Times New Roman"/>
          <w:szCs w:val="24"/>
        </w:rPr>
        <w:t xml:space="preserve"> en el tratamiento de los pacientes oncológicos del Hospital Guillermo Almenara. Método: es una investigación cuantitativa, de enfoque descriptivo; asimismo, se clasifica dentro de la investigación descriptiva. Además, esta exploración es no experimental y la población estuvo conformada por todos los pacientes diagnosticados con cáncer tratados con este radiofármaco como parte de su diagnóstico, seguimiento y tratamiento. La muestra fue 334 pacientes; el instrumento aplicado fue de una encuesta estructurada, revisada y aprobada por expertos en oncología. Los datos del análisis se ingresaron en una hoja de cálculo en el programa Microsoft Excel para su organización inicial. Posteriormente, se transfirieron a SPSS (Versión 27) para su análisis estadístico. Resultados: un hallazgo clave en esta investigación fue la percepción generalizada de que el uso de [18F]</w:t>
      </w:r>
      <w:proofErr w:type="spellStart"/>
      <w:r w:rsidRPr="00262147">
        <w:rPr>
          <w:rFonts w:cs="Times New Roman"/>
          <w:szCs w:val="24"/>
        </w:rPr>
        <w:t>fludesoxiglucosa</w:t>
      </w:r>
      <w:proofErr w:type="spellEnd"/>
      <w:r w:rsidRPr="00262147">
        <w:rPr>
          <w:rFonts w:cs="Times New Roman"/>
          <w:szCs w:val="24"/>
        </w:rPr>
        <w:t xml:space="preserve"> mejora la precisión diagnóstica. Más del 70% de los pacientes considera que el fármaco contribuye significativamente a la identificación precisa de tumores y anomalías, lo cual es crucial para la toma de decisiones terapéuticas. Conclusiones: más del 70% de los pacientes lo consideran clave para identificar tumores y anomalías, lo que facilita el diagnóstico precoz y la toma de decisiones terapéuticas, </w:t>
      </w:r>
      <w:r w:rsidRPr="00262147">
        <w:rPr>
          <w:rFonts w:cs="Times New Roman"/>
          <w:szCs w:val="24"/>
        </w:rPr>
        <w:lastRenderedPageBreak/>
        <w:t>permitiendo tratamientos más efectivos y menos invasivos. Esto resalta su importancia en la oncología.</w:t>
      </w:r>
    </w:p>
    <w:p w14:paraId="7523B0ED" w14:textId="77777777" w:rsidR="00262147" w:rsidRPr="00262147" w:rsidRDefault="00262147" w:rsidP="00262147">
      <w:pPr>
        <w:rPr>
          <w:rFonts w:cs="Times New Roman"/>
          <w:szCs w:val="24"/>
        </w:rPr>
      </w:pPr>
      <w:r w:rsidRPr="00262147">
        <w:rPr>
          <w:rFonts w:cs="Times New Roman"/>
          <w:b/>
          <w:bCs/>
          <w:i/>
          <w:iCs/>
          <w:szCs w:val="24"/>
        </w:rPr>
        <w:t>Palabras claves:</w:t>
      </w:r>
      <w:r w:rsidRPr="00262147">
        <w:rPr>
          <w:rFonts w:cs="Times New Roman"/>
          <w:szCs w:val="24"/>
        </w:rPr>
        <w:t xml:space="preserve"> radiofármaco, tumores y anomalías, detección más temprana.</w:t>
      </w:r>
    </w:p>
    <w:p w14:paraId="12936284" w14:textId="77777777" w:rsidR="0002329A" w:rsidRDefault="0002329A" w:rsidP="009210B2">
      <w:pPr>
        <w:rPr>
          <w:rFonts w:eastAsia="Calibri" w:cs="Times New Roman"/>
          <w:color w:val="000000"/>
          <w:szCs w:val="24"/>
        </w:rPr>
      </w:pPr>
    </w:p>
    <w:p w14:paraId="7550B053" w14:textId="45D001D0" w:rsidR="003F28B9" w:rsidRPr="009210B2" w:rsidRDefault="003F28B9" w:rsidP="00262147">
      <w:pPr>
        <w:ind w:firstLine="0"/>
        <w:rPr>
          <w:rFonts w:cs="Times New Roman"/>
          <w:b/>
          <w:color w:val="000000"/>
          <w:szCs w:val="24"/>
          <w:lang w:val="en-US"/>
        </w:rPr>
      </w:pPr>
      <w:r w:rsidRPr="009210B2">
        <w:rPr>
          <w:rFonts w:cs="Times New Roman"/>
          <w:b/>
          <w:color w:val="000000"/>
          <w:szCs w:val="24"/>
          <w:lang w:val="en-US"/>
        </w:rPr>
        <w:t>ABSTRACT</w:t>
      </w:r>
    </w:p>
    <w:p w14:paraId="23980C23" w14:textId="77777777" w:rsidR="00262147" w:rsidRPr="00262147" w:rsidRDefault="00262147" w:rsidP="00262147">
      <w:pPr>
        <w:ind w:firstLine="0"/>
        <w:rPr>
          <w:rFonts w:eastAsia="Times New Roman" w:cs="Times New Roman"/>
          <w:color w:val="000000"/>
          <w:szCs w:val="24"/>
          <w:lang w:val="en-US" w:eastAsia="es-PE"/>
        </w:rPr>
      </w:pPr>
      <w:r w:rsidRPr="00262147">
        <w:rPr>
          <w:rFonts w:eastAsia="Times New Roman" w:cs="Times New Roman"/>
          <w:color w:val="000000"/>
          <w:szCs w:val="24"/>
          <w:lang w:val="en-US" w:eastAsia="es-PE"/>
        </w:rPr>
        <w:t xml:space="preserve">English: </w:t>
      </w:r>
      <w:r w:rsidRPr="00262147">
        <w:rPr>
          <w:rFonts w:eastAsia="Times New Roman" w:cs="Times New Roman"/>
          <w:b/>
          <w:bCs/>
          <w:color w:val="000000"/>
          <w:szCs w:val="24"/>
          <w:lang w:val="en-US" w:eastAsia="es-PE"/>
        </w:rPr>
        <w:t>Objective:</w:t>
      </w:r>
      <w:r w:rsidRPr="00262147">
        <w:rPr>
          <w:rFonts w:eastAsia="Times New Roman" w:cs="Times New Roman"/>
          <w:color w:val="000000"/>
          <w:szCs w:val="24"/>
          <w:lang w:val="en-US" w:eastAsia="es-PE"/>
        </w:rPr>
        <w:t xml:space="preserve"> To determine the impact of the radiopharmaceutical [18</w:t>
      </w:r>
      <w:proofErr w:type="gramStart"/>
      <w:r w:rsidRPr="00262147">
        <w:rPr>
          <w:rFonts w:eastAsia="Times New Roman" w:cs="Times New Roman"/>
          <w:color w:val="000000"/>
          <w:szCs w:val="24"/>
          <w:lang w:val="en-US" w:eastAsia="es-PE"/>
        </w:rPr>
        <w:t>F]</w:t>
      </w:r>
      <w:proofErr w:type="spellStart"/>
      <w:r w:rsidRPr="00262147">
        <w:rPr>
          <w:rFonts w:eastAsia="Times New Roman" w:cs="Times New Roman"/>
          <w:color w:val="000000"/>
          <w:szCs w:val="24"/>
          <w:lang w:val="en-US" w:eastAsia="es-PE"/>
        </w:rPr>
        <w:t>fludeoxyglucose</w:t>
      </w:r>
      <w:proofErr w:type="spellEnd"/>
      <w:proofErr w:type="gramEnd"/>
      <w:r w:rsidRPr="00262147">
        <w:rPr>
          <w:rFonts w:eastAsia="Times New Roman" w:cs="Times New Roman"/>
          <w:color w:val="000000"/>
          <w:szCs w:val="24"/>
          <w:lang w:val="en-US" w:eastAsia="es-PE"/>
        </w:rPr>
        <w:t xml:space="preserve"> on the treatment of cancer patients at Guillermo Almenara Hospital. </w:t>
      </w:r>
      <w:r w:rsidRPr="00262147">
        <w:rPr>
          <w:rFonts w:eastAsia="Times New Roman" w:cs="Times New Roman"/>
          <w:b/>
          <w:bCs/>
          <w:color w:val="000000"/>
          <w:szCs w:val="24"/>
          <w:lang w:val="en-US" w:eastAsia="es-PE"/>
        </w:rPr>
        <w:t>Method:</w:t>
      </w:r>
      <w:r w:rsidRPr="00262147">
        <w:rPr>
          <w:rFonts w:eastAsia="Times New Roman" w:cs="Times New Roman"/>
          <w:color w:val="000000"/>
          <w:szCs w:val="24"/>
          <w:lang w:val="en-US" w:eastAsia="es-PE"/>
        </w:rPr>
        <w:t xml:space="preserve"> This is a quantitative study with a descriptive approach; it is also classified as descriptive research. Furthermore, this study is non-experimental, and the population consisted of all patients diagnosed with cancer who were treated with this radiopharmaceutical as part of their diagnosis, follow-up, and treatment. The sample consisted of 334 patients; the instrument used was a structured survey, reviewed, and approved by oncology experts. Data from the analysis were entered into a Microsoft Excel spreadsheet for initial organization. Data were then transferred to SPSS (Version 27) for statistical analysis. </w:t>
      </w:r>
      <w:r w:rsidRPr="00262147">
        <w:rPr>
          <w:rFonts w:eastAsia="Times New Roman" w:cs="Times New Roman"/>
          <w:b/>
          <w:bCs/>
          <w:color w:val="000000"/>
          <w:szCs w:val="24"/>
          <w:lang w:val="en-US" w:eastAsia="es-PE"/>
        </w:rPr>
        <w:t>Results:</w:t>
      </w:r>
      <w:r w:rsidRPr="00262147">
        <w:rPr>
          <w:rFonts w:eastAsia="Times New Roman" w:cs="Times New Roman"/>
          <w:color w:val="000000"/>
          <w:szCs w:val="24"/>
          <w:lang w:val="en-US" w:eastAsia="es-PE"/>
        </w:rPr>
        <w:t xml:space="preserve"> A key finding in this research was the widespread perception that the use of [18</w:t>
      </w:r>
      <w:proofErr w:type="gramStart"/>
      <w:r w:rsidRPr="00262147">
        <w:rPr>
          <w:rFonts w:eastAsia="Times New Roman" w:cs="Times New Roman"/>
          <w:color w:val="000000"/>
          <w:szCs w:val="24"/>
          <w:lang w:val="en-US" w:eastAsia="es-PE"/>
        </w:rPr>
        <w:t>F]</w:t>
      </w:r>
      <w:proofErr w:type="spellStart"/>
      <w:r w:rsidRPr="00262147">
        <w:rPr>
          <w:rFonts w:eastAsia="Times New Roman" w:cs="Times New Roman"/>
          <w:color w:val="000000"/>
          <w:szCs w:val="24"/>
          <w:lang w:val="en-US" w:eastAsia="es-PE"/>
        </w:rPr>
        <w:t>fludeoxyglucose</w:t>
      </w:r>
      <w:proofErr w:type="spellEnd"/>
      <w:proofErr w:type="gramEnd"/>
      <w:r w:rsidRPr="00262147">
        <w:rPr>
          <w:rFonts w:eastAsia="Times New Roman" w:cs="Times New Roman"/>
          <w:color w:val="000000"/>
          <w:szCs w:val="24"/>
          <w:lang w:val="en-US" w:eastAsia="es-PE"/>
        </w:rPr>
        <w:t xml:space="preserve"> improves diagnostic accuracy. More than 70% of patients consider the drug to contribute significantly to the accurate identification of tumors and abnormalities, which is crucial for therapeutic decision-making. </w:t>
      </w:r>
      <w:r w:rsidRPr="00262147">
        <w:rPr>
          <w:rFonts w:eastAsia="Times New Roman" w:cs="Times New Roman"/>
          <w:b/>
          <w:bCs/>
          <w:color w:val="000000"/>
          <w:szCs w:val="24"/>
          <w:lang w:val="en-US" w:eastAsia="es-PE"/>
        </w:rPr>
        <w:t>Conclusions:</w:t>
      </w:r>
      <w:r w:rsidRPr="00262147">
        <w:rPr>
          <w:rFonts w:eastAsia="Times New Roman" w:cs="Times New Roman"/>
          <w:color w:val="000000"/>
          <w:szCs w:val="24"/>
          <w:lang w:val="en-US" w:eastAsia="es-PE"/>
        </w:rPr>
        <w:t xml:space="preserve"> More than 70% of patients consider it key to identifying tumors and abnormalities, which facilitates early diagnosis and therapeutic decision-making, allowing for more effective and less invasive treatments. This highlights its importance in oncology.</w:t>
      </w:r>
    </w:p>
    <w:p w14:paraId="43DEE729" w14:textId="77777777" w:rsidR="00262147" w:rsidRPr="00262147" w:rsidRDefault="00262147" w:rsidP="00262147">
      <w:pPr>
        <w:rPr>
          <w:rFonts w:eastAsia="Times New Roman" w:cs="Times New Roman"/>
          <w:color w:val="000000"/>
          <w:szCs w:val="24"/>
          <w:lang w:val="en-US" w:eastAsia="es-PE"/>
        </w:rPr>
      </w:pPr>
      <w:r w:rsidRPr="00262147">
        <w:rPr>
          <w:rFonts w:eastAsia="Times New Roman" w:cs="Times New Roman"/>
          <w:b/>
          <w:i/>
          <w:color w:val="000000"/>
          <w:szCs w:val="24"/>
          <w:lang w:val="en-US" w:eastAsia="es-PE"/>
        </w:rPr>
        <w:t>Keywords</w:t>
      </w:r>
      <w:r w:rsidRPr="00262147">
        <w:rPr>
          <w:rFonts w:eastAsia="Times New Roman" w:cs="Times New Roman"/>
          <w:color w:val="000000"/>
          <w:szCs w:val="24"/>
          <w:lang w:val="en-US" w:eastAsia="es-PE"/>
        </w:rPr>
        <w:t>: radiopharmaceutical, tumors and abnormalities, earlier detection.</w:t>
      </w:r>
    </w:p>
    <w:p w14:paraId="02152681" w14:textId="387DBCE9" w:rsidR="00DC73DF" w:rsidRPr="00900F50" w:rsidRDefault="00E617E9" w:rsidP="009210B2">
      <w:pPr>
        <w:ind w:firstLine="0"/>
        <w:rPr>
          <w:rFonts w:cs="Times New Roman"/>
          <w:b/>
          <w:bCs/>
          <w:szCs w:val="24"/>
        </w:rPr>
      </w:pPr>
      <w:r w:rsidRPr="00900F50">
        <w:rPr>
          <w:rFonts w:cs="Times New Roman"/>
          <w:b/>
          <w:bCs/>
          <w:szCs w:val="24"/>
        </w:rPr>
        <w:t>INTRODUCCION</w:t>
      </w:r>
    </w:p>
    <w:p w14:paraId="4DFE2EF3" w14:textId="6197C003" w:rsidR="0002329A" w:rsidRDefault="00262147" w:rsidP="006C0D8D">
      <w:r w:rsidRPr="00262147">
        <w:t xml:space="preserve">El avance de la medicina nuclear ha transformado el diagnóstico y tratamiento del cáncer mediante el uso del radiofármaco [18F] </w:t>
      </w:r>
      <w:proofErr w:type="spellStart"/>
      <w:r w:rsidRPr="00262147">
        <w:t>fludesoxiglucosa</w:t>
      </w:r>
      <w:proofErr w:type="spellEnd"/>
      <w:r w:rsidRPr="00262147">
        <w:t xml:space="preserve"> (FDG), un análogo de la glucosa marcado con flúor-18 que permite evaluar la actividad metabólica de las células </w:t>
      </w:r>
      <w:r w:rsidRPr="00262147">
        <w:lastRenderedPageBreak/>
        <w:t>tumorales a través de la tomografía por emisión de positrones (PET/CT). En el Hospital Guillermo Almenara Irigoyen, esta tecnología ha mejorado la detección temprana de neoplasias, la precisión en la evaluación de la respuesta terapéutica y la toma de decisiones clínicas, reduciendo la necesidad de procedimientos invasivos y elevando la calidad de vida de los pacientes. Además, el FDG ha permitido personalizar los tratamientos según las características específicas de cada paciente, optimizando la eficacia y disminuyendo efectos secundarios, lo que contribuye a una mejor comprensión de la biología tumoral y a un abordaje más humanizado de la oncología. Sin embargo, su implementación enfrenta desafíos importantes: la disponibilidad limitada del radiofármaco debido a la necesidad de ciclotrones y laboratorios especializados, el corto periodo de semidesintegración del flúor-18 que dificulta su transporte, los altos costos de producción y administración que afectan la equidad en el acceso, y la necesidad de capacitación especializada del personal médico y técnico para garantizar seguridad y precisión diagnóstica. Estos factores hacen imprescindible evaluar la seguridad, eficacia, costo-efectividad y sostenibilidad financiera de su uso en el contexto hospitalario peruano. La investigación propuesta busca analizar el impacto del FDG en los pacientes oncológicos del Hospital Guillermo Almenara Irigoyen, identificando barreras y proponiendo estrategias para optimizar su aplicación, con el objetivo de fortalecer el manejo integral del cáncer y contribuir al desarrollo de protocolos más efectivos y humanizados dentro del sistema de salud.</w:t>
      </w:r>
    </w:p>
    <w:p w14:paraId="6E136B08" w14:textId="367CD704" w:rsidR="00B12790" w:rsidRPr="00D05FAA" w:rsidRDefault="00B12790" w:rsidP="00900F50">
      <w:pPr>
        <w:ind w:firstLine="0"/>
        <w:rPr>
          <w:rFonts w:cs="Times New Roman"/>
          <w:b/>
          <w:bCs/>
          <w:szCs w:val="24"/>
        </w:rPr>
      </w:pPr>
      <w:r w:rsidRPr="00D05FAA">
        <w:rPr>
          <w:rFonts w:cs="Times New Roman"/>
          <w:b/>
          <w:bCs/>
          <w:szCs w:val="24"/>
          <w:u w:val="single"/>
        </w:rPr>
        <w:t xml:space="preserve">Problema principal de la </w:t>
      </w:r>
      <w:r w:rsidR="007F2702" w:rsidRPr="00D05FAA">
        <w:rPr>
          <w:rFonts w:cs="Times New Roman"/>
          <w:b/>
          <w:bCs/>
          <w:szCs w:val="24"/>
          <w:u w:val="single"/>
        </w:rPr>
        <w:t>Investigación</w:t>
      </w:r>
      <w:r w:rsidRPr="00D05FAA">
        <w:rPr>
          <w:rFonts w:cs="Times New Roman"/>
          <w:b/>
          <w:bCs/>
          <w:szCs w:val="24"/>
          <w:u w:val="single"/>
        </w:rPr>
        <w:t xml:space="preserve"> </w:t>
      </w:r>
      <w:r w:rsidR="00221EE9" w:rsidRPr="00D05FAA">
        <w:rPr>
          <w:rFonts w:cs="Times New Roman"/>
          <w:b/>
          <w:bCs/>
          <w:szCs w:val="24"/>
          <w:u w:val="single"/>
        </w:rPr>
        <w:t>fue</w:t>
      </w:r>
      <w:r w:rsidR="00221EE9" w:rsidRPr="00D05FAA">
        <w:rPr>
          <w:rFonts w:cs="Times New Roman"/>
          <w:b/>
          <w:bCs/>
          <w:szCs w:val="24"/>
        </w:rPr>
        <w:t>:</w:t>
      </w:r>
    </w:p>
    <w:p w14:paraId="35E6379D" w14:textId="2B21BEAA" w:rsidR="00262147" w:rsidRDefault="00262147" w:rsidP="007F2702">
      <w:pPr>
        <w:rPr>
          <w:rFonts w:cs="Times New Roman"/>
          <w:szCs w:val="24"/>
        </w:rPr>
      </w:pPr>
      <w:r w:rsidRPr="00262147">
        <w:rPr>
          <w:rFonts w:cs="Times New Roman"/>
          <w:szCs w:val="24"/>
        </w:rPr>
        <w:t xml:space="preserve">¿Cuál es el impacto del radiofármaco [18F] </w:t>
      </w:r>
      <w:proofErr w:type="spellStart"/>
      <w:r w:rsidRPr="00262147">
        <w:rPr>
          <w:rFonts w:cs="Times New Roman"/>
          <w:szCs w:val="24"/>
        </w:rPr>
        <w:t>fludesoxiglucosa</w:t>
      </w:r>
      <w:proofErr w:type="spellEnd"/>
      <w:r w:rsidRPr="00262147">
        <w:rPr>
          <w:rFonts w:cs="Times New Roman"/>
          <w:szCs w:val="24"/>
        </w:rPr>
        <w:t xml:space="preserve"> en el tratamiento de los pacientes oncológicos en el Hospital Guillermo Almenara?</w:t>
      </w:r>
    </w:p>
    <w:p w14:paraId="0DDFAAFB" w14:textId="0A569030" w:rsidR="007F2702" w:rsidRDefault="00B12790" w:rsidP="007F2702">
      <w:pPr>
        <w:rPr>
          <w:rFonts w:cs="Times New Roman"/>
          <w:szCs w:val="24"/>
        </w:rPr>
      </w:pPr>
      <w:r w:rsidRPr="00D05FAA">
        <w:rPr>
          <w:rFonts w:cs="Times New Roman"/>
          <w:b/>
          <w:bCs/>
          <w:szCs w:val="24"/>
          <w:u w:val="single"/>
        </w:rPr>
        <w:t xml:space="preserve">Al respecto, como antecedentes </w:t>
      </w:r>
      <w:r w:rsidR="00221EE9" w:rsidRPr="00D05FAA">
        <w:rPr>
          <w:rFonts w:cs="Times New Roman"/>
          <w:b/>
          <w:bCs/>
          <w:szCs w:val="24"/>
          <w:u w:val="single"/>
        </w:rPr>
        <w:t>tenemos:</w:t>
      </w:r>
    </w:p>
    <w:p w14:paraId="35EB8233" w14:textId="77777777" w:rsidR="00262147" w:rsidRPr="00262147" w:rsidRDefault="00262147" w:rsidP="006C0D8D">
      <w:pPr>
        <w:rPr>
          <w:shd w:val="clear" w:color="auto" w:fill="FFFFFF"/>
        </w:rPr>
      </w:pPr>
      <w:r w:rsidRPr="00262147">
        <w:rPr>
          <w:shd w:val="clear" w:color="auto" w:fill="FFFFFF"/>
        </w:rPr>
        <w:t xml:space="preserve">El uso de radiofármacos en oncología ha revolucionado la capacidad de diagnóstico y seguimiento de diversas patologías malignas. Entre estos compuestos, el </w:t>
      </w:r>
      <w:r w:rsidRPr="00262147">
        <w:rPr>
          <w:shd w:val="clear" w:color="auto" w:fill="FFFFFF"/>
        </w:rPr>
        <w:lastRenderedPageBreak/>
        <w:t>[18F]</w:t>
      </w:r>
      <w:proofErr w:type="spellStart"/>
      <w:r w:rsidRPr="00262147">
        <w:rPr>
          <w:shd w:val="clear" w:color="auto" w:fill="FFFFFF"/>
        </w:rPr>
        <w:t>Fludesoxiglucosa</w:t>
      </w:r>
      <w:proofErr w:type="spellEnd"/>
      <w:r w:rsidRPr="00262147">
        <w:rPr>
          <w:shd w:val="clear" w:color="auto" w:fill="FFFFFF"/>
        </w:rPr>
        <w:t xml:space="preserve"> ([18F]FDG), un análogo de la glucosa marcado con flúor-18, es ampliamente utilizado en Tomografía por Emisión de Positrones (PET) para la detección y estadificación de neoplasias malignas. (</w:t>
      </w:r>
      <w:proofErr w:type="spellStart"/>
      <w:r w:rsidRPr="00262147">
        <w:rPr>
          <w:shd w:val="clear" w:color="auto" w:fill="FFFFFF"/>
        </w:rPr>
        <w:t>Boellaard</w:t>
      </w:r>
      <w:proofErr w:type="spellEnd"/>
      <w:r w:rsidRPr="00262147">
        <w:rPr>
          <w:shd w:val="clear" w:color="auto" w:fill="FFFFFF"/>
        </w:rPr>
        <w:t xml:space="preserve"> et al., 2015).</w:t>
      </w:r>
    </w:p>
    <w:p w14:paraId="26EEA749" w14:textId="77777777" w:rsidR="00262147" w:rsidRPr="00262147" w:rsidRDefault="00262147" w:rsidP="00262147">
      <w:pPr>
        <w:ind w:firstLine="0"/>
        <w:rPr>
          <w:shd w:val="clear" w:color="auto" w:fill="FFFFFF"/>
        </w:rPr>
      </w:pPr>
      <w:r w:rsidRPr="00262147">
        <w:rPr>
          <w:shd w:val="clear" w:color="auto" w:fill="FFFFFF"/>
        </w:rPr>
        <w:t>a) Aplicaciones clínicas del [18F]FDG en oncología</w:t>
      </w:r>
    </w:p>
    <w:p w14:paraId="2C945D4F" w14:textId="77777777" w:rsidR="00262147" w:rsidRPr="00262147" w:rsidRDefault="00262147" w:rsidP="006C0D8D">
      <w:pPr>
        <w:rPr>
          <w:shd w:val="clear" w:color="auto" w:fill="FFFFFF"/>
        </w:rPr>
      </w:pPr>
      <w:r w:rsidRPr="00262147">
        <w:rPr>
          <w:shd w:val="clear" w:color="auto" w:fill="FFFFFF"/>
        </w:rPr>
        <w:t>El radiofármaco [18F]FDG ha demostrado una alta sensibilidad y especificidad en la detección de tumores con alta tasa de metabolismo de glucosa, como el linfoma, cáncer de pulmón y cáncer colorrectal. (Jacob et al., 2023). Su uso ha permitido mejorar la precisión en la estadificación del cáncer, la evaluación de la respuesta al tratamiento y la detección de recurrencias. (</w:t>
      </w:r>
      <w:proofErr w:type="spellStart"/>
      <w:r w:rsidRPr="00262147">
        <w:rPr>
          <w:shd w:val="clear" w:color="auto" w:fill="FFFFFF"/>
        </w:rPr>
        <w:t>Jadvar</w:t>
      </w:r>
      <w:proofErr w:type="spellEnd"/>
      <w:r w:rsidRPr="00262147">
        <w:rPr>
          <w:shd w:val="clear" w:color="auto" w:fill="FFFFFF"/>
        </w:rPr>
        <w:t>, 2017).</w:t>
      </w:r>
    </w:p>
    <w:p w14:paraId="52CC659B" w14:textId="77777777" w:rsidR="00262147" w:rsidRPr="00262147" w:rsidRDefault="00262147" w:rsidP="00262147">
      <w:pPr>
        <w:ind w:firstLine="0"/>
        <w:rPr>
          <w:shd w:val="clear" w:color="auto" w:fill="FFFFFF"/>
        </w:rPr>
      </w:pPr>
      <w:r w:rsidRPr="00262147">
        <w:rPr>
          <w:shd w:val="clear" w:color="auto" w:fill="FFFFFF"/>
        </w:rPr>
        <w:t>b) Impacto en la sobrevida y manejo clínico</w:t>
      </w:r>
    </w:p>
    <w:p w14:paraId="0662D736" w14:textId="77777777" w:rsidR="00262147" w:rsidRPr="00C32A1E" w:rsidRDefault="00262147" w:rsidP="006C0D8D">
      <w:pPr>
        <w:rPr>
          <w:shd w:val="clear" w:color="auto" w:fill="FFFFFF"/>
        </w:rPr>
      </w:pPr>
      <w:r w:rsidRPr="00262147">
        <w:rPr>
          <w:shd w:val="clear" w:color="auto" w:fill="FFFFFF"/>
        </w:rPr>
        <w:t xml:space="preserve">Varios estudios han mostrado que el uso de [18F]FDG influye en las decisiones terapéuticas y mejora la sobrevida libre de progresión en pacientes con cáncer avanzado. </w:t>
      </w:r>
      <w:r w:rsidRPr="00C32A1E">
        <w:rPr>
          <w:shd w:val="clear" w:color="auto" w:fill="FFFFFF"/>
        </w:rPr>
        <w:t>(</w:t>
      </w:r>
      <w:proofErr w:type="spellStart"/>
      <w:r w:rsidRPr="00C32A1E">
        <w:rPr>
          <w:shd w:val="clear" w:color="auto" w:fill="FFFFFF"/>
        </w:rPr>
        <w:t>Farwell</w:t>
      </w:r>
      <w:proofErr w:type="spellEnd"/>
      <w:r w:rsidRPr="00C32A1E">
        <w:rPr>
          <w:shd w:val="clear" w:color="auto" w:fill="FFFFFF"/>
        </w:rPr>
        <w:t xml:space="preserve"> et al., 2014). En el contexto de hospitales de alta especialización, como el Hospital Guillermo Almenara Irigoyen, su implementación ha permitido un manejo más preciso de pacientes oncológicos, optimizando los esquemas terapéuticos y evitando procedimientos invasivos innecesarios. (</w:t>
      </w:r>
      <w:proofErr w:type="spellStart"/>
      <w:r w:rsidRPr="00C32A1E">
        <w:rPr>
          <w:shd w:val="clear" w:color="auto" w:fill="FFFFFF"/>
        </w:rPr>
        <w:t>Wahl</w:t>
      </w:r>
      <w:proofErr w:type="spellEnd"/>
      <w:r w:rsidRPr="00C32A1E">
        <w:rPr>
          <w:shd w:val="clear" w:color="auto" w:fill="FFFFFF"/>
        </w:rPr>
        <w:t xml:space="preserve"> et al, 2009).</w:t>
      </w:r>
    </w:p>
    <w:p w14:paraId="18E6D550" w14:textId="77777777" w:rsidR="00262147" w:rsidRPr="00C32A1E" w:rsidRDefault="00262147" w:rsidP="00262147">
      <w:pPr>
        <w:ind w:firstLine="0"/>
        <w:rPr>
          <w:shd w:val="clear" w:color="auto" w:fill="FFFFFF"/>
        </w:rPr>
      </w:pPr>
      <w:r w:rsidRPr="00C32A1E">
        <w:rPr>
          <w:shd w:val="clear" w:color="auto" w:fill="FFFFFF"/>
        </w:rPr>
        <w:t>c) Limitaciones y desafíos</w:t>
      </w:r>
    </w:p>
    <w:p w14:paraId="6A92155B" w14:textId="77777777" w:rsidR="00262147" w:rsidRPr="00262147" w:rsidRDefault="00262147" w:rsidP="006C0D8D">
      <w:pPr>
        <w:rPr>
          <w:shd w:val="clear" w:color="auto" w:fill="FFFFFF"/>
        </w:rPr>
      </w:pPr>
      <w:r w:rsidRPr="00C32A1E">
        <w:rPr>
          <w:shd w:val="clear" w:color="auto" w:fill="FFFFFF"/>
        </w:rPr>
        <w:t>A pesar de sus múltiples beneficios, el uso de [18F]FDG presenta ciertas limitaciones, como la captación inespecífica en procesos inflamatorios y la necesidad de un acceso adecuado a ciclotrones para su producción. (</w:t>
      </w:r>
      <w:proofErr w:type="spellStart"/>
      <w:r w:rsidRPr="00C32A1E">
        <w:rPr>
          <w:shd w:val="clear" w:color="auto" w:fill="FFFFFF"/>
        </w:rPr>
        <w:t>Boellaard</w:t>
      </w:r>
      <w:proofErr w:type="spellEnd"/>
      <w:r w:rsidRPr="00C32A1E">
        <w:rPr>
          <w:shd w:val="clear" w:color="auto" w:fill="FFFFFF"/>
        </w:rPr>
        <w:t xml:space="preserve"> et al., 2015). En países en vías de desarrollo, la disponibilidad del radiofármaco sigue siendo un desafío debido a costos elevados y la infraestructura necesaria para su producción y distribución. (Jacob et al., 2023).</w:t>
      </w:r>
    </w:p>
    <w:p w14:paraId="014A4637" w14:textId="77777777" w:rsidR="00262147" w:rsidRPr="00262147" w:rsidRDefault="00262147" w:rsidP="00262147">
      <w:pPr>
        <w:ind w:firstLine="0"/>
        <w:rPr>
          <w:shd w:val="clear" w:color="auto" w:fill="FFFFFF"/>
        </w:rPr>
      </w:pPr>
      <w:r w:rsidRPr="00262147">
        <w:rPr>
          <w:shd w:val="clear" w:color="auto" w:fill="FFFFFF"/>
        </w:rPr>
        <w:t>d) Perspectivas futuras</w:t>
      </w:r>
    </w:p>
    <w:p w14:paraId="1EEE19AF" w14:textId="77777777" w:rsidR="00262147" w:rsidRDefault="00262147" w:rsidP="006C0D8D">
      <w:pPr>
        <w:rPr>
          <w:shd w:val="clear" w:color="auto" w:fill="FFFFFF"/>
        </w:rPr>
      </w:pPr>
      <w:r w:rsidRPr="00262147">
        <w:rPr>
          <w:shd w:val="clear" w:color="auto" w:fill="FFFFFF"/>
        </w:rPr>
        <w:t xml:space="preserve">El desarrollo de nuevos radiofármacos basados en flúor-18 y la integración de inteligencia artificial en la interpretación de imágenes PET representan áreas de innovación en </w:t>
      </w:r>
      <w:r w:rsidRPr="00262147">
        <w:rPr>
          <w:shd w:val="clear" w:color="auto" w:fill="FFFFFF"/>
        </w:rPr>
        <w:lastRenderedPageBreak/>
        <w:t>la medicina nuclear oncológica. Estudios recientes sugieren que la combinación de [18F]FDG con otros biomarcadores moleculares podría mejorar la estratificación de pacientes y la personalización de tratamientos. (</w:t>
      </w:r>
      <w:proofErr w:type="spellStart"/>
      <w:r w:rsidRPr="00262147">
        <w:rPr>
          <w:shd w:val="clear" w:color="auto" w:fill="FFFFFF"/>
        </w:rPr>
        <w:t>Jadvar</w:t>
      </w:r>
      <w:proofErr w:type="spellEnd"/>
      <w:r w:rsidRPr="00262147">
        <w:rPr>
          <w:shd w:val="clear" w:color="auto" w:fill="FFFFFF"/>
        </w:rPr>
        <w:t>, 2017).</w:t>
      </w:r>
    </w:p>
    <w:p w14:paraId="345D3D73" w14:textId="2F5C1A24" w:rsidR="00B12790" w:rsidRPr="00D05FAA" w:rsidRDefault="00B12790" w:rsidP="00262147">
      <w:pPr>
        <w:ind w:firstLine="0"/>
        <w:rPr>
          <w:rFonts w:cs="Times New Roman"/>
          <w:b/>
          <w:bCs/>
          <w:szCs w:val="24"/>
        </w:rPr>
      </w:pPr>
      <w:r w:rsidRPr="00D05FAA">
        <w:rPr>
          <w:rFonts w:cs="Times New Roman"/>
          <w:b/>
          <w:bCs/>
          <w:szCs w:val="24"/>
        </w:rPr>
        <w:t>METODO</w:t>
      </w:r>
    </w:p>
    <w:p w14:paraId="25627007" w14:textId="64C7B26D" w:rsidR="00262147" w:rsidRPr="00262147" w:rsidRDefault="00262147" w:rsidP="00262147">
      <w:pPr>
        <w:widowControl w:val="0"/>
        <w:autoSpaceDE w:val="0"/>
        <w:autoSpaceDN w:val="0"/>
        <w:ind w:firstLine="709"/>
        <w:rPr>
          <w:rFonts w:eastAsia="Arial MT" w:cs="Times New Roman"/>
          <w:color w:val="000000"/>
          <w:position w:val="1"/>
          <w:szCs w:val="24"/>
          <w:lang w:val="es-ES"/>
        </w:rPr>
      </w:pPr>
      <w:r w:rsidRPr="00262147">
        <w:rPr>
          <w:rFonts w:eastAsia="Arial MT" w:cs="Times New Roman"/>
          <w:color w:val="000000"/>
          <w:position w:val="1"/>
          <w:szCs w:val="24"/>
          <w:lang w:val="es-ES"/>
        </w:rPr>
        <w:t xml:space="preserve">La investigación </w:t>
      </w:r>
      <w:r w:rsidRPr="00262147">
        <w:rPr>
          <w:rFonts w:eastAsia="Arial MT" w:cs="Times New Roman"/>
          <w:color w:val="000000"/>
          <w:position w:val="1"/>
          <w:szCs w:val="24"/>
          <w:lang w:val="es-ES"/>
        </w:rPr>
        <w:t>fue</w:t>
      </w:r>
      <w:r w:rsidRPr="00262147">
        <w:rPr>
          <w:rFonts w:eastAsia="Arial MT" w:cs="Times New Roman"/>
          <w:color w:val="000000"/>
          <w:position w:val="1"/>
          <w:szCs w:val="24"/>
          <w:lang w:val="es-ES"/>
        </w:rPr>
        <w:t xml:space="preserve"> cuantitativa y descriptiva, con un diseño no experimental, ya que se limita a observar y analizar los efectos del radiofármaco [18F] </w:t>
      </w:r>
      <w:proofErr w:type="spellStart"/>
      <w:r w:rsidRPr="00262147">
        <w:rPr>
          <w:rFonts w:eastAsia="Arial MT" w:cs="Times New Roman"/>
          <w:color w:val="000000"/>
          <w:position w:val="1"/>
          <w:szCs w:val="24"/>
          <w:lang w:val="es-ES"/>
        </w:rPr>
        <w:t>fludesoxiglucosa</w:t>
      </w:r>
      <w:proofErr w:type="spellEnd"/>
      <w:r w:rsidRPr="00262147">
        <w:rPr>
          <w:rFonts w:eastAsia="Arial MT" w:cs="Times New Roman"/>
          <w:color w:val="000000"/>
          <w:position w:val="1"/>
          <w:szCs w:val="24"/>
          <w:lang w:val="es-ES"/>
        </w:rPr>
        <w:t xml:space="preserve"> (FDG) en pacientes oncológicos del Hospital Guillermo Almenara Irigoyen sin manipular variables ni intervenir en los tratamientos. El objetivo es medir su impacto en la precisión diagnóstica, el pronóstico y la respuesta terapéutica, utilizando datos reales obtenidos en la práctica clínica habitual.</w:t>
      </w:r>
    </w:p>
    <w:p w14:paraId="14F2CE89" w14:textId="77777777" w:rsidR="00262147" w:rsidRPr="00262147" w:rsidRDefault="00262147" w:rsidP="00262147">
      <w:pPr>
        <w:widowControl w:val="0"/>
        <w:autoSpaceDE w:val="0"/>
        <w:autoSpaceDN w:val="0"/>
        <w:ind w:firstLine="709"/>
        <w:rPr>
          <w:rFonts w:eastAsia="Arial MT" w:cs="Times New Roman"/>
          <w:color w:val="000000"/>
          <w:position w:val="1"/>
          <w:szCs w:val="24"/>
          <w:lang w:val="es-ES"/>
        </w:rPr>
      </w:pPr>
      <w:r w:rsidRPr="00262147">
        <w:rPr>
          <w:rFonts w:eastAsia="Arial MT" w:cs="Times New Roman"/>
          <w:color w:val="000000"/>
          <w:position w:val="1"/>
          <w:szCs w:val="24"/>
          <w:lang w:val="es-ES"/>
        </w:rPr>
        <w:t>La población de estudio estuvo conformada por 2500 pacientes oncológicos que recibieron FDG como parte de la técnica PET/CT para diagnóstico, seguimiento y planificación terapéutica.</w:t>
      </w:r>
    </w:p>
    <w:p w14:paraId="4F75C396" w14:textId="77777777" w:rsidR="00262147" w:rsidRPr="00262147" w:rsidRDefault="00262147" w:rsidP="00262147">
      <w:pPr>
        <w:widowControl w:val="0"/>
        <w:autoSpaceDE w:val="0"/>
        <w:autoSpaceDN w:val="0"/>
        <w:ind w:firstLine="709"/>
        <w:rPr>
          <w:rFonts w:eastAsia="Arial MT" w:cs="Times New Roman"/>
          <w:color w:val="000000"/>
          <w:position w:val="1"/>
          <w:szCs w:val="24"/>
          <w:lang w:val="es-ES"/>
        </w:rPr>
      </w:pPr>
      <w:r w:rsidRPr="00262147">
        <w:rPr>
          <w:rFonts w:eastAsia="Arial MT" w:cs="Times New Roman"/>
          <w:color w:val="000000"/>
          <w:position w:val="1"/>
          <w:szCs w:val="24"/>
          <w:lang w:val="es-ES"/>
        </w:rPr>
        <w:t>De esta población, se seleccionó una muestra representativa de 334 pacientes, calculada con un nivel de confianza del 95% y un margen de error del 5%. La muestra incluyó pacientes con distintos tipos de cáncer, etapas de la enfermedad y características demográficas, garantizando diversidad y representatividad.</w:t>
      </w:r>
    </w:p>
    <w:p w14:paraId="0A6C5FDF" w14:textId="09804EC6" w:rsidR="00262147" w:rsidRPr="00262147" w:rsidRDefault="00262147" w:rsidP="00262147">
      <w:pPr>
        <w:widowControl w:val="0"/>
        <w:autoSpaceDE w:val="0"/>
        <w:autoSpaceDN w:val="0"/>
        <w:ind w:firstLine="709"/>
        <w:rPr>
          <w:rFonts w:eastAsia="Arial MT" w:cs="Times New Roman"/>
          <w:color w:val="000000"/>
          <w:position w:val="1"/>
          <w:szCs w:val="24"/>
          <w:lang w:val="es-ES"/>
        </w:rPr>
      </w:pPr>
      <w:r w:rsidRPr="00262147">
        <w:rPr>
          <w:rFonts w:eastAsia="Arial MT" w:cs="Times New Roman"/>
          <w:color w:val="000000"/>
          <w:position w:val="1"/>
          <w:szCs w:val="24"/>
          <w:lang w:val="es-ES"/>
        </w:rPr>
        <w:t>Los criterios de inclusión fueron pacientes que recibieron FDG en su diagnóstico o seguimiento y aceptaron participar; mientras que el criterio de exclusión fue la falta de datos clínicos completos. Este enfoque asegura que los resultados reflejen de manera fiel el impacto del radiofármaco en la población oncológica del hospital.</w:t>
      </w:r>
    </w:p>
    <w:p w14:paraId="6E2F0D27" w14:textId="54191298" w:rsidR="00D17D58" w:rsidRPr="00D17D58" w:rsidRDefault="006C0D8D" w:rsidP="00D17D58">
      <w:pPr>
        <w:spacing w:before="100" w:beforeAutospacing="1" w:after="100" w:afterAutospacing="1" w:line="240" w:lineRule="auto"/>
        <w:ind w:firstLine="0"/>
        <w:jc w:val="left"/>
        <w:outlineLvl w:val="1"/>
        <w:rPr>
          <w:rFonts w:eastAsia="Times New Roman" w:cs="Times New Roman"/>
          <w:b/>
          <w:bCs/>
          <w:color w:val="auto"/>
          <w:sz w:val="36"/>
          <w:szCs w:val="36"/>
          <w:lang w:eastAsia="es-PE"/>
        </w:rPr>
      </w:pPr>
      <w:r>
        <w:rPr>
          <w:rFonts w:eastAsia="Times New Roman" w:cs="Times New Roman"/>
          <w:b/>
          <w:bCs/>
          <w:color w:val="auto"/>
          <w:szCs w:val="24"/>
          <w:lang w:eastAsia="es-PE"/>
        </w:rPr>
        <w:t>O</w:t>
      </w:r>
      <w:r w:rsidR="00D17D58" w:rsidRPr="00D17D58">
        <w:rPr>
          <w:rFonts w:eastAsia="Times New Roman" w:cs="Times New Roman"/>
          <w:b/>
          <w:bCs/>
          <w:color w:val="auto"/>
          <w:szCs w:val="24"/>
          <w:lang w:eastAsia="es-PE"/>
        </w:rPr>
        <w:t>peracionalización de variables</w:t>
      </w:r>
    </w:p>
    <w:p w14:paraId="1E188516" w14:textId="77777777" w:rsidR="00D17D58" w:rsidRPr="00D17D58" w:rsidRDefault="00D17D58" w:rsidP="00D17D58">
      <w:pPr>
        <w:ind w:firstLine="0"/>
        <w:jc w:val="left"/>
        <w:outlineLvl w:val="2"/>
        <w:rPr>
          <w:rFonts w:eastAsia="Times New Roman" w:cs="Times New Roman"/>
          <w:b/>
          <w:bCs/>
          <w:color w:val="auto"/>
          <w:sz w:val="27"/>
          <w:szCs w:val="27"/>
          <w:u w:val="single"/>
          <w:lang w:eastAsia="es-PE"/>
        </w:rPr>
      </w:pPr>
      <w:r w:rsidRPr="00D17D58">
        <w:rPr>
          <w:rFonts w:eastAsia="Times New Roman" w:cs="Times New Roman"/>
          <w:b/>
          <w:bCs/>
          <w:color w:val="auto"/>
          <w:sz w:val="27"/>
          <w:szCs w:val="27"/>
          <w:u w:val="single"/>
          <w:lang w:eastAsia="es-PE"/>
        </w:rPr>
        <w:t>Variable independiente</w:t>
      </w:r>
    </w:p>
    <w:p w14:paraId="2DB65078" w14:textId="77777777" w:rsidR="00D17D58" w:rsidRPr="00D17D58" w:rsidRDefault="00D17D58" w:rsidP="00D17D58">
      <w:pPr>
        <w:ind w:firstLine="0"/>
        <w:jc w:val="left"/>
        <w:rPr>
          <w:rFonts w:eastAsia="Times New Roman" w:cs="Times New Roman"/>
          <w:color w:val="auto"/>
          <w:szCs w:val="24"/>
          <w:lang w:eastAsia="es-PE"/>
        </w:rPr>
      </w:pPr>
      <w:r w:rsidRPr="00D17D58">
        <w:rPr>
          <w:rFonts w:eastAsia="Times New Roman" w:cs="Times New Roman"/>
          <w:b/>
          <w:bCs/>
          <w:color w:val="auto"/>
          <w:szCs w:val="24"/>
          <w:lang w:eastAsia="es-PE"/>
        </w:rPr>
        <w:t xml:space="preserve">X1: Radiofármaco [18F] </w:t>
      </w:r>
      <w:proofErr w:type="spellStart"/>
      <w:r w:rsidRPr="00D17D58">
        <w:rPr>
          <w:rFonts w:eastAsia="Times New Roman" w:cs="Times New Roman"/>
          <w:b/>
          <w:bCs/>
          <w:color w:val="auto"/>
          <w:szCs w:val="24"/>
          <w:lang w:eastAsia="es-PE"/>
        </w:rPr>
        <w:t>fludesoxiglucosa</w:t>
      </w:r>
      <w:proofErr w:type="spellEnd"/>
      <w:r w:rsidRPr="00D17D58">
        <w:rPr>
          <w:rFonts w:eastAsia="Times New Roman" w:cs="Times New Roman"/>
          <w:b/>
          <w:bCs/>
          <w:color w:val="auto"/>
          <w:szCs w:val="24"/>
          <w:lang w:eastAsia="es-PE"/>
        </w:rPr>
        <w:t xml:space="preserve"> (FDG)</w:t>
      </w:r>
    </w:p>
    <w:p w14:paraId="4639DD44" w14:textId="77777777" w:rsidR="00D17D58" w:rsidRPr="00D17D58" w:rsidRDefault="00D17D58" w:rsidP="006C0D8D">
      <w:pPr>
        <w:numPr>
          <w:ilvl w:val="0"/>
          <w:numId w:val="46"/>
        </w:numPr>
        <w:tabs>
          <w:tab w:val="clear" w:pos="720"/>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lastRenderedPageBreak/>
        <w:t>Definición conceptual:</w:t>
      </w:r>
      <w:r w:rsidRPr="00D17D58">
        <w:rPr>
          <w:rFonts w:eastAsia="Times New Roman" w:cs="Times New Roman"/>
          <w:color w:val="auto"/>
          <w:szCs w:val="24"/>
          <w:lang w:eastAsia="es-PE"/>
        </w:rPr>
        <w:t xml:space="preserve"> Forma radiactiva de la glucosa usada en tomografía por emisión de positrones (PET/CT) para detectar células con alta actividad metabólica.</w:t>
      </w:r>
    </w:p>
    <w:p w14:paraId="34EA5318" w14:textId="77777777" w:rsidR="00D17D58" w:rsidRPr="00D17D58" w:rsidRDefault="00D17D58" w:rsidP="006C0D8D">
      <w:pPr>
        <w:numPr>
          <w:ilvl w:val="0"/>
          <w:numId w:val="46"/>
        </w:numPr>
        <w:tabs>
          <w:tab w:val="clear" w:pos="720"/>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Dimensiones e indicadores:</w:t>
      </w:r>
    </w:p>
    <w:p w14:paraId="1C828DF2" w14:textId="77777777" w:rsidR="00D17D58" w:rsidRPr="00D17D58" w:rsidRDefault="00D17D58" w:rsidP="006C0D8D">
      <w:pPr>
        <w:numPr>
          <w:ilvl w:val="1"/>
          <w:numId w:val="46"/>
        </w:numPr>
        <w:tabs>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Capacitación:</w:t>
      </w:r>
      <w:r w:rsidRPr="00D17D58">
        <w:rPr>
          <w:rFonts w:eastAsia="Times New Roman" w:cs="Times New Roman"/>
          <w:color w:val="auto"/>
          <w:szCs w:val="24"/>
          <w:lang w:eastAsia="es-PE"/>
        </w:rPr>
        <w:t xml:space="preserve"> % de personal capacitado, horas de formación y actualización.</w:t>
      </w:r>
    </w:p>
    <w:p w14:paraId="578C48AA" w14:textId="77777777" w:rsidR="00D17D58" w:rsidRPr="00D17D58" w:rsidRDefault="00D17D58" w:rsidP="006C0D8D">
      <w:pPr>
        <w:numPr>
          <w:ilvl w:val="1"/>
          <w:numId w:val="46"/>
        </w:numPr>
        <w:tabs>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Infraestructura:</w:t>
      </w:r>
      <w:r w:rsidRPr="00D17D58">
        <w:rPr>
          <w:rFonts w:eastAsia="Times New Roman" w:cs="Times New Roman"/>
          <w:color w:val="auto"/>
          <w:szCs w:val="24"/>
          <w:lang w:eastAsia="es-PE"/>
        </w:rPr>
        <w:t xml:space="preserve"> Disponibilidad de salas de preparación y administración, existencia de áreas de almacenamiento adecuadas.</w:t>
      </w:r>
    </w:p>
    <w:p w14:paraId="3BCC9419" w14:textId="77777777" w:rsidR="00D17D58" w:rsidRPr="00D17D58" w:rsidRDefault="00D17D58" w:rsidP="006C0D8D">
      <w:pPr>
        <w:numPr>
          <w:ilvl w:val="1"/>
          <w:numId w:val="46"/>
        </w:numPr>
        <w:tabs>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Equipos:</w:t>
      </w:r>
      <w:r w:rsidRPr="00D17D58">
        <w:rPr>
          <w:rFonts w:eastAsia="Times New Roman" w:cs="Times New Roman"/>
          <w:color w:val="auto"/>
          <w:szCs w:val="24"/>
          <w:lang w:eastAsia="es-PE"/>
        </w:rPr>
        <w:t xml:space="preserve"> % de tiempo de funcionamiento de equipos PET/CT, calidad de integración de imágenes.</w:t>
      </w:r>
    </w:p>
    <w:p w14:paraId="325A63F7" w14:textId="77777777" w:rsidR="00D17D58" w:rsidRPr="00D17D58" w:rsidRDefault="00D17D58" w:rsidP="006C0D8D">
      <w:pPr>
        <w:numPr>
          <w:ilvl w:val="1"/>
          <w:numId w:val="46"/>
        </w:numPr>
        <w:tabs>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Stock del medicamento:</w:t>
      </w:r>
      <w:r w:rsidRPr="00D17D58">
        <w:rPr>
          <w:rFonts w:eastAsia="Times New Roman" w:cs="Times New Roman"/>
          <w:color w:val="auto"/>
          <w:szCs w:val="24"/>
          <w:lang w:eastAsia="es-PE"/>
        </w:rPr>
        <w:t xml:space="preserve"> Nivel de cumplimiento del stock, % de radiofármacos desechados por gestión ineficiente.</w:t>
      </w:r>
    </w:p>
    <w:p w14:paraId="50B9CF40" w14:textId="77777777" w:rsidR="00D17D58" w:rsidRPr="00D17D58" w:rsidRDefault="00D17D58" w:rsidP="006C0D8D">
      <w:pPr>
        <w:numPr>
          <w:ilvl w:val="0"/>
          <w:numId w:val="46"/>
        </w:numPr>
        <w:tabs>
          <w:tab w:val="clear" w:pos="720"/>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Tipo de variable:</w:t>
      </w:r>
      <w:r w:rsidRPr="00D17D58">
        <w:rPr>
          <w:rFonts w:eastAsia="Times New Roman" w:cs="Times New Roman"/>
          <w:color w:val="auto"/>
          <w:szCs w:val="24"/>
          <w:lang w:eastAsia="es-PE"/>
        </w:rPr>
        <w:t xml:space="preserve"> Cuantitativa</w:t>
      </w:r>
    </w:p>
    <w:p w14:paraId="03509FE6" w14:textId="77777777" w:rsidR="00D17D58" w:rsidRPr="00D17D58" w:rsidRDefault="00D17D58" w:rsidP="006C0D8D">
      <w:pPr>
        <w:numPr>
          <w:ilvl w:val="0"/>
          <w:numId w:val="46"/>
        </w:numPr>
        <w:tabs>
          <w:tab w:val="clear" w:pos="720"/>
          <w:tab w:val="num" w:pos="284"/>
        </w:tabs>
        <w:ind w:left="284" w:hanging="284"/>
        <w:jc w:val="left"/>
        <w:rPr>
          <w:rFonts w:eastAsia="Times New Roman" w:cs="Times New Roman"/>
          <w:color w:val="auto"/>
          <w:szCs w:val="24"/>
          <w:lang w:eastAsia="es-PE"/>
        </w:rPr>
      </w:pPr>
      <w:r w:rsidRPr="00D17D58">
        <w:rPr>
          <w:rFonts w:eastAsia="Times New Roman" w:cs="Times New Roman"/>
          <w:b/>
          <w:bCs/>
          <w:color w:val="auto"/>
          <w:szCs w:val="24"/>
          <w:lang w:eastAsia="es-PE"/>
        </w:rPr>
        <w:t>Escala:</w:t>
      </w:r>
      <w:r w:rsidRPr="00D17D58">
        <w:rPr>
          <w:rFonts w:eastAsia="Times New Roman" w:cs="Times New Roman"/>
          <w:color w:val="auto"/>
          <w:szCs w:val="24"/>
          <w:lang w:eastAsia="es-PE"/>
        </w:rPr>
        <w:t xml:space="preserve"> Ordinal</w:t>
      </w:r>
    </w:p>
    <w:p w14:paraId="4712DF45" w14:textId="77777777" w:rsidR="00D17D58" w:rsidRPr="00D17D58" w:rsidRDefault="00D17D58" w:rsidP="00D17D58">
      <w:pPr>
        <w:ind w:firstLine="0"/>
        <w:jc w:val="left"/>
        <w:outlineLvl w:val="2"/>
        <w:rPr>
          <w:rFonts w:eastAsia="Times New Roman" w:cs="Times New Roman"/>
          <w:b/>
          <w:bCs/>
          <w:color w:val="auto"/>
          <w:sz w:val="27"/>
          <w:szCs w:val="27"/>
          <w:u w:val="single"/>
          <w:lang w:eastAsia="es-PE"/>
        </w:rPr>
      </w:pPr>
      <w:r w:rsidRPr="00D17D58">
        <w:rPr>
          <w:rFonts w:eastAsia="Times New Roman" w:cs="Times New Roman"/>
          <w:b/>
          <w:bCs/>
          <w:color w:val="auto"/>
          <w:sz w:val="27"/>
          <w:szCs w:val="27"/>
          <w:u w:val="single"/>
          <w:lang w:eastAsia="es-PE"/>
        </w:rPr>
        <w:t>Variable dependiente</w:t>
      </w:r>
    </w:p>
    <w:p w14:paraId="3A0C340F" w14:textId="77777777" w:rsidR="00D17D58" w:rsidRPr="00D17D58" w:rsidRDefault="00D17D58" w:rsidP="00D17D58">
      <w:pPr>
        <w:ind w:firstLine="0"/>
        <w:jc w:val="left"/>
        <w:rPr>
          <w:rFonts w:eastAsia="Times New Roman" w:cs="Times New Roman"/>
          <w:color w:val="auto"/>
          <w:szCs w:val="24"/>
          <w:lang w:eastAsia="es-PE"/>
        </w:rPr>
      </w:pPr>
      <w:r w:rsidRPr="00D17D58">
        <w:rPr>
          <w:rFonts w:eastAsia="Times New Roman" w:cs="Times New Roman"/>
          <w:b/>
          <w:bCs/>
          <w:color w:val="auto"/>
          <w:szCs w:val="24"/>
          <w:lang w:eastAsia="es-PE"/>
        </w:rPr>
        <w:t>Y1: Tratamiento de los pacientes oncológicos</w:t>
      </w:r>
    </w:p>
    <w:p w14:paraId="0135F3B4" w14:textId="77777777" w:rsidR="00D17D58" w:rsidRPr="00D17D58" w:rsidRDefault="00D17D58" w:rsidP="006C0D8D">
      <w:pPr>
        <w:numPr>
          <w:ilvl w:val="0"/>
          <w:numId w:val="47"/>
        </w:numPr>
        <w:tabs>
          <w:tab w:val="clear" w:pos="720"/>
          <w:tab w:val="num" w:pos="567"/>
          <w:tab w:val="left" w:pos="851"/>
        </w:tabs>
        <w:ind w:left="142" w:hanging="142"/>
        <w:rPr>
          <w:rFonts w:eastAsia="Times New Roman" w:cs="Times New Roman"/>
          <w:color w:val="auto"/>
          <w:szCs w:val="24"/>
          <w:lang w:eastAsia="es-PE"/>
        </w:rPr>
      </w:pPr>
      <w:r w:rsidRPr="00D17D58">
        <w:rPr>
          <w:rFonts w:eastAsia="Times New Roman" w:cs="Times New Roman"/>
          <w:b/>
          <w:bCs/>
          <w:color w:val="auto"/>
          <w:szCs w:val="24"/>
          <w:lang w:eastAsia="es-PE"/>
        </w:rPr>
        <w:t>Definición conceptual:</w:t>
      </w:r>
      <w:r w:rsidRPr="00D17D58">
        <w:rPr>
          <w:rFonts w:eastAsia="Times New Roman" w:cs="Times New Roman"/>
          <w:color w:val="auto"/>
          <w:szCs w:val="24"/>
          <w:lang w:eastAsia="es-PE"/>
        </w:rPr>
        <w:t xml:space="preserve"> Pacientes diagnosticados con cáncer que requieren atención médica integral y especializada.</w:t>
      </w:r>
    </w:p>
    <w:p w14:paraId="0DD2E21D" w14:textId="77777777" w:rsidR="00D17D58" w:rsidRPr="00D17D58" w:rsidRDefault="00D17D58" w:rsidP="006C0D8D">
      <w:pPr>
        <w:numPr>
          <w:ilvl w:val="0"/>
          <w:numId w:val="47"/>
        </w:numPr>
        <w:tabs>
          <w:tab w:val="clear" w:pos="720"/>
          <w:tab w:val="num" w:pos="567"/>
          <w:tab w:val="left" w:pos="851"/>
        </w:tabs>
        <w:ind w:left="142" w:hanging="142"/>
        <w:rPr>
          <w:rFonts w:eastAsia="Times New Roman" w:cs="Times New Roman"/>
          <w:color w:val="auto"/>
          <w:szCs w:val="24"/>
          <w:lang w:eastAsia="es-PE"/>
        </w:rPr>
      </w:pPr>
      <w:r w:rsidRPr="00D17D58">
        <w:rPr>
          <w:rFonts w:eastAsia="Times New Roman" w:cs="Times New Roman"/>
          <w:b/>
          <w:bCs/>
          <w:color w:val="auto"/>
          <w:szCs w:val="24"/>
          <w:lang w:eastAsia="es-PE"/>
        </w:rPr>
        <w:t>Dimensiones e indicadores:</w:t>
      </w:r>
    </w:p>
    <w:p w14:paraId="6E391BF8" w14:textId="77777777" w:rsidR="00D17D58" w:rsidRPr="00D17D58" w:rsidRDefault="00D17D58" w:rsidP="006C0D8D">
      <w:pPr>
        <w:numPr>
          <w:ilvl w:val="1"/>
          <w:numId w:val="47"/>
        </w:numPr>
        <w:tabs>
          <w:tab w:val="clear" w:pos="1440"/>
          <w:tab w:val="num" w:pos="284"/>
          <w:tab w:val="left" w:pos="851"/>
        </w:tabs>
        <w:ind w:left="567" w:hanging="425"/>
        <w:rPr>
          <w:rFonts w:eastAsia="Times New Roman" w:cs="Times New Roman"/>
          <w:color w:val="auto"/>
          <w:szCs w:val="24"/>
          <w:lang w:eastAsia="es-PE"/>
        </w:rPr>
      </w:pPr>
      <w:r w:rsidRPr="00D17D58">
        <w:rPr>
          <w:rFonts w:eastAsia="Times New Roman" w:cs="Times New Roman"/>
          <w:b/>
          <w:bCs/>
          <w:color w:val="auto"/>
          <w:szCs w:val="24"/>
          <w:lang w:eastAsia="es-PE"/>
        </w:rPr>
        <w:t>Diagnóstica:</w:t>
      </w:r>
      <w:r w:rsidRPr="00D17D58">
        <w:rPr>
          <w:rFonts w:eastAsia="Times New Roman" w:cs="Times New Roman"/>
          <w:color w:val="auto"/>
          <w:szCs w:val="24"/>
          <w:lang w:eastAsia="es-PE"/>
        </w:rPr>
        <w:t xml:space="preserve"> Sensibilidad y especificidad del radiofármaco en la detección de tumores.</w:t>
      </w:r>
    </w:p>
    <w:p w14:paraId="1FF2EF98" w14:textId="77777777" w:rsidR="00D17D58" w:rsidRPr="00D17D58" w:rsidRDefault="00D17D58" w:rsidP="006C0D8D">
      <w:pPr>
        <w:numPr>
          <w:ilvl w:val="1"/>
          <w:numId w:val="47"/>
        </w:numPr>
        <w:tabs>
          <w:tab w:val="clear" w:pos="1440"/>
          <w:tab w:val="num" w:pos="284"/>
          <w:tab w:val="left" w:pos="851"/>
        </w:tabs>
        <w:ind w:left="567" w:hanging="425"/>
        <w:rPr>
          <w:rFonts w:eastAsia="Times New Roman" w:cs="Times New Roman"/>
          <w:color w:val="auto"/>
          <w:szCs w:val="24"/>
          <w:lang w:eastAsia="es-PE"/>
        </w:rPr>
      </w:pPr>
      <w:r w:rsidRPr="00D17D58">
        <w:rPr>
          <w:rFonts w:eastAsia="Times New Roman" w:cs="Times New Roman"/>
          <w:b/>
          <w:bCs/>
          <w:color w:val="auto"/>
          <w:szCs w:val="24"/>
          <w:lang w:eastAsia="es-PE"/>
        </w:rPr>
        <w:t>Pronóstica:</w:t>
      </w:r>
      <w:r w:rsidRPr="00D17D58">
        <w:rPr>
          <w:rFonts w:eastAsia="Times New Roman" w:cs="Times New Roman"/>
          <w:color w:val="auto"/>
          <w:szCs w:val="24"/>
          <w:lang w:eastAsia="es-PE"/>
        </w:rPr>
        <w:t xml:space="preserve"> Capacidad para predecir progresión y supervivencia, correlación con estadio del cáncer.</w:t>
      </w:r>
    </w:p>
    <w:p w14:paraId="45DE6B11" w14:textId="77777777" w:rsidR="00D17D58" w:rsidRPr="00D17D58" w:rsidRDefault="00D17D58" w:rsidP="006C0D8D">
      <w:pPr>
        <w:numPr>
          <w:ilvl w:val="1"/>
          <w:numId w:val="47"/>
        </w:numPr>
        <w:tabs>
          <w:tab w:val="clear" w:pos="1440"/>
          <w:tab w:val="left" w:pos="284"/>
          <w:tab w:val="num" w:pos="567"/>
          <w:tab w:val="left" w:pos="851"/>
        </w:tabs>
        <w:ind w:left="284" w:hanging="142"/>
        <w:rPr>
          <w:rFonts w:eastAsia="Times New Roman" w:cs="Times New Roman"/>
          <w:color w:val="auto"/>
          <w:szCs w:val="24"/>
          <w:lang w:eastAsia="es-PE"/>
        </w:rPr>
      </w:pPr>
      <w:r w:rsidRPr="00D17D58">
        <w:rPr>
          <w:rFonts w:eastAsia="Times New Roman" w:cs="Times New Roman"/>
          <w:b/>
          <w:bCs/>
          <w:color w:val="auto"/>
          <w:szCs w:val="24"/>
          <w:lang w:eastAsia="es-PE"/>
        </w:rPr>
        <w:t>Seguimiento y respuesta al tratamiento:</w:t>
      </w:r>
      <w:r w:rsidRPr="00D17D58">
        <w:rPr>
          <w:rFonts w:eastAsia="Times New Roman" w:cs="Times New Roman"/>
          <w:color w:val="auto"/>
          <w:szCs w:val="24"/>
          <w:lang w:eastAsia="es-PE"/>
        </w:rPr>
        <w:t xml:space="preserve"> Evaluación de respuesta tumoral, detección de recurrencias, correlación con cambios metabólicos.</w:t>
      </w:r>
    </w:p>
    <w:p w14:paraId="00BE44A5" w14:textId="77777777" w:rsidR="00D17D58" w:rsidRPr="00D17D58" w:rsidRDefault="00D17D58" w:rsidP="006C0D8D">
      <w:pPr>
        <w:numPr>
          <w:ilvl w:val="1"/>
          <w:numId w:val="47"/>
        </w:numPr>
        <w:tabs>
          <w:tab w:val="clear" w:pos="1440"/>
          <w:tab w:val="left" w:pos="284"/>
          <w:tab w:val="num" w:pos="567"/>
          <w:tab w:val="left" w:pos="851"/>
        </w:tabs>
        <w:spacing w:before="100" w:beforeAutospacing="1" w:after="100" w:afterAutospacing="1"/>
        <w:ind w:left="284" w:hanging="142"/>
        <w:rPr>
          <w:rFonts w:eastAsia="Times New Roman" w:cs="Times New Roman"/>
          <w:color w:val="auto"/>
          <w:szCs w:val="24"/>
          <w:lang w:eastAsia="es-PE"/>
        </w:rPr>
      </w:pPr>
      <w:r w:rsidRPr="00D17D58">
        <w:rPr>
          <w:rFonts w:eastAsia="Times New Roman" w:cs="Times New Roman"/>
          <w:b/>
          <w:bCs/>
          <w:color w:val="auto"/>
          <w:szCs w:val="24"/>
          <w:lang w:eastAsia="es-PE"/>
        </w:rPr>
        <w:t>Seguridad y efectos adversos:</w:t>
      </w:r>
      <w:r w:rsidRPr="00D17D58">
        <w:rPr>
          <w:rFonts w:eastAsia="Times New Roman" w:cs="Times New Roman"/>
          <w:color w:val="auto"/>
          <w:szCs w:val="24"/>
          <w:lang w:eastAsia="es-PE"/>
        </w:rPr>
        <w:t xml:space="preserve"> Incidencia de reacciones adversas, cumplimiento de normas de protección radiológica.</w:t>
      </w:r>
    </w:p>
    <w:p w14:paraId="1E5C1CC6" w14:textId="77777777" w:rsidR="00D17D58" w:rsidRPr="00D17D58" w:rsidRDefault="00D17D58" w:rsidP="006C0D8D">
      <w:pPr>
        <w:numPr>
          <w:ilvl w:val="0"/>
          <w:numId w:val="47"/>
        </w:numPr>
        <w:tabs>
          <w:tab w:val="clear" w:pos="720"/>
          <w:tab w:val="num" w:pos="567"/>
          <w:tab w:val="left" w:pos="851"/>
        </w:tabs>
        <w:spacing w:before="100" w:beforeAutospacing="1" w:after="100" w:afterAutospacing="1"/>
        <w:ind w:left="142" w:hanging="142"/>
        <w:rPr>
          <w:rFonts w:eastAsia="Times New Roman" w:cs="Times New Roman"/>
          <w:color w:val="auto"/>
          <w:szCs w:val="24"/>
          <w:lang w:eastAsia="es-PE"/>
        </w:rPr>
      </w:pPr>
      <w:r w:rsidRPr="00D17D58">
        <w:rPr>
          <w:rFonts w:eastAsia="Times New Roman" w:cs="Times New Roman"/>
          <w:b/>
          <w:bCs/>
          <w:color w:val="auto"/>
          <w:szCs w:val="24"/>
          <w:lang w:eastAsia="es-PE"/>
        </w:rPr>
        <w:t>Tipo de variable:</w:t>
      </w:r>
      <w:r w:rsidRPr="00D17D58">
        <w:rPr>
          <w:rFonts w:eastAsia="Times New Roman" w:cs="Times New Roman"/>
          <w:color w:val="auto"/>
          <w:szCs w:val="24"/>
          <w:lang w:eastAsia="es-PE"/>
        </w:rPr>
        <w:t xml:space="preserve"> Cuantitativa</w:t>
      </w:r>
    </w:p>
    <w:p w14:paraId="4EC89F90" w14:textId="77777777" w:rsidR="00D17D58" w:rsidRPr="00D17D58" w:rsidRDefault="00D17D58" w:rsidP="006C0D8D">
      <w:pPr>
        <w:numPr>
          <w:ilvl w:val="0"/>
          <w:numId w:val="47"/>
        </w:numPr>
        <w:tabs>
          <w:tab w:val="clear" w:pos="720"/>
          <w:tab w:val="num" w:pos="567"/>
          <w:tab w:val="left" w:pos="851"/>
        </w:tabs>
        <w:ind w:left="142" w:hanging="142"/>
        <w:rPr>
          <w:rFonts w:eastAsia="Times New Roman" w:cs="Times New Roman"/>
          <w:color w:val="auto"/>
          <w:szCs w:val="24"/>
          <w:lang w:eastAsia="es-PE"/>
        </w:rPr>
      </w:pPr>
      <w:r w:rsidRPr="00D17D58">
        <w:rPr>
          <w:rFonts w:eastAsia="Times New Roman" w:cs="Times New Roman"/>
          <w:b/>
          <w:bCs/>
          <w:color w:val="auto"/>
          <w:szCs w:val="24"/>
          <w:lang w:eastAsia="es-PE"/>
        </w:rPr>
        <w:lastRenderedPageBreak/>
        <w:t>Escala:</w:t>
      </w:r>
      <w:r w:rsidRPr="00D17D58">
        <w:rPr>
          <w:rFonts w:eastAsia="Times New Roman" w:cs="Times New Roman"/>
          <w:color w:val="auto"/>
          <w:szCs w:val="24"/>
          <w:lang w:eastAsia="es-PE"/>
        </w:rPr>
        <w:t xml:space="preserve"> Ordinal</w:t>
      </w:r>
    </w:p>
    <w:p w14:paraId="019E2F2C" w14:textId="3EF00E2B" w:rsidR="00D17D58" w:rsidRDefault="00D17D58" w:rsidP="006C0D8D">
      <w:pPr>
        <w:rPr>
          <w:lang w:eastAsia="es-PE"/>
        </w:rPr>
      </w:pPr>
      <w:r w:rsidRPr="00D17D58">
        <w:rPr>
          <w:b/>
          <w:bCs/>
          <w:lang w:eastAsia="es-PE"/>
        </w:rPr>
        <w:t>En síntesis:</w:t>
      </w:r>
      <w:r w:rsidRPr="00D17D58">
        <w:rPr>
          <w:lang w:eastAsia="es-PE"/>
        </w:rPr>
        <w:t xml:space="preserve"> La investigación mide cómo el uso del radiofármaco [18F] FDG (variable independiente) influye en el diagnóstico, pronóstico, seguimiento y seguridad del tratamiento de pacientes oncológicos (variable dependiente), utilizando indicadores cuantitativos en escala ordinal.</w:t>
      </w:r>
    </w:p>
    <w:p w14:paraId="0A4F3C0D" w14:textId="77777777" w:rsidR="00D17D58" w:rsidRPr="00D17D58" w:rsidRDefault="00D17D58" w:rsidP="00D17D58">
      <w:pPr>
        <w:rPr>
          <w:lang w:eastAsia="es-PE"/>
        </w:rPr>
      </w:pPr>
      <w:r w:rsidRPr="00D17D58">
        <w:rPr>
          <w:lang w:eastAsia="es-PE"/>
        </w:rPr>
        <w:t xml:space="preserve">En este estudio, el </w:t>
      </w:r>
      <w:r w:rsidRPr="00D17D58">
        <w:rPr>
          <w:b/>
          <w:bCs/>
          <w:lang w:eastAsia="es-PE"/>
        </w:rPr>
        <w:t>instrumento</w:t>
      </w:r>
      <w:r w:rsidRPr="00D17D58">
        <w:rPr>
          <w:lang w:eastAsia="es-PE"/>
        </w:rPr>
        <w:t xml:space="preserve"> de recolección de datos fue una encuesta estructurada, diseñada para obtener información precisa y cuantificable sobre las experiencias de los profesionales de salud en el diagnóstico, tratamiento y seguimiento de pacientes oncológicos que recibieron el radiofármaco [18F] </w:t>
      </w:r>
      <w:proofErr w:type="spellStart"/>
      <w:r w:rsidRPr="00D17D58">
        <w:rPr>
          <w:lang w:eastAsia="es-PE"/>
        </w:rPr>
        <w:t>fludesoxiglucosa</w:t>
      </w:r>
      <w:proofErr w:type="spellEnd"/>
      <w:r w:rsidRPr="00D17D58">
        <w:rPr>
          <w:lang w:eastAsia="es-PE"/>
        </w:rPr>
        <w:t>.</w:t>
      </w:r>
    </w:p>
    <w:p w14:paraId="7A80DE2F" w14:textId="77777777" w:rsidR="00D17D58" w:rsidRPr="00D17D58" w:rsidRDefault="00D17D58" w:rsidP="00D17D58">
      <w:pPr>
        <w:rPr>
          <w:lang w:eastAsia="es-PE"/>
        </w:rPr>
      </w:pPr>
      <w:r w:rsidRPr="00D17D58">
        <w:rPr>
          <w:lang w:eastAsia="es-PE"/>
        </w:rPr>
        <w:t xml:space="preserve">El </w:t>
      </w:r>
      <w:r w:rsidRPr="00D17D58">
        <w:rPr>
          <w:b/>
          <w:bCs/>
          <w:lang w:eastAsia="es-PE"/>
        </w:rPr>
        <w:t>procedimiento</w:t>
      </w:r>
      <w:r w:rsidRPr="00D17D58">
        <w:rPr>
          <w:lang w:eastAsia="es-PE"/>
        </w:rPr>
        <w:t xml:space="preserve"> incluyó el diseño y validación de la encuesta por expertos en oncología y metodología, asegurando claridad y pertinencia de las preguntas. La muestra estuvo conformada por 334 pacientes, seleccionados a partir de registros médicos del hospital. Las encuestas fueron administradas de forma presencial en un ambiente privado, con apoyo del personal encargado para resolver dudas. Las respuestas se registraron de manera anónima, garantizando la confidencialidad, y el tiempo estimado de aplicación fue de 15 a 20 minutos.</w:t>
      </w:r>
    </w:p>
    <w:p w14:paraId="5E91B3EC" w14:textId="77777777" w:rsidR="00D17D58" w:rsidRPr="00D17D58" w:rsidRDefault="00D17D58" w:rsidP="00D17D58">
      <w:pPr>
        <w:rPr>
          <w:lang w:eastAsia="es-PE"/>
        </w:rPr>
      </w:pPr>
      <w:r w:rsidRPr="00D17D58">
        <w:rPr>
          <w:lang w:eastAsia="es-PE"/>
        </w:rPr>
        <w:t xml:space="preserve">Para el </w:t>
      </w:r>
      <w:r w:rsidRPr="00D17D58">
        <w:rPr>
          <w:b/>
          <w:bCs/>
          <w:lang w:eastAsia="es-PE"/>
        </w:rPr>
        <w:t>análisis de datos</w:t>
      </w:r>
      <w:r w:rsidRPr="00D17D58">
        <w:rPr>
          <w:lang w:eastAsia="es-PE"/>
        </w:rPr>
        <w:t>, la información recopilada se organizó inicialmente en Microsoft Excel y luego se procesó en SPSS (versión 27). Se aplicaron estadísticas descriptivas (frecuencias, porcentajes, medias y desviación estándar) y pruebas inferenciales: chi-cuadrado para analizar asociaciones entre variables categóricas y ANOVA para comparar medias de satisfacción entre distintos grupos de pacientes. Los resultados se interpretaron con un nivel de significancia del 5%.</w:t>
      </w:r>
    </w:p>
    <w:p w14:paraId="1A5C6AFB" w14:textId="052EDE9E" w:rsidR="00D17D58" w:rsidRPr="00D17D58" w:rsidRDefault="00D17D58" w:rsidP="00D17D58">
      <w:pPr>
        <w:rPr>
          <w:lang w:eastAsia="es-PE"/>
        </w:rPr>
      </w:pPr>
      <w:r w:rsidRPr="00D17D58">
        <w:rPr>
          <w:lang w:eastAsia="es-PE"/>
        </w:rPr>
        <w:t xml:space="preserve">En cuanto a las consideraciones éticas, se garantizó el consentimiento informado de los pacientes, quienes fueron informados sobre los objetivos, procedimientos y su derecho a retirarse sin afectar su atención médica. La participación fue voluntaria y se aseguró la confidencialidad de los datos, evitando cualquier divulgación de información personal. </w:t>
      </w:r>
      <w:r w:rsidRPr="00D17D58">
        <w:rPr>
          <w:lang w:eastAsia="es-PE"/>
        </w:rPr>
        <w:lastRenderedPageBreak/>
        <w:t>Asimismo, se garantizó la integridad de los datos, analizados de manera objetiva y sin manipulación, reflejando fielmente el impacto del radiofármaco en los pacientes oncológicos.</w:t>
      </w:r>
    </w:p>
    <w:p w14:paraId="5F142C36" w14:textId="1ECFCC64" w:rsidR="008E02B5" w:rsidRDefault="00211E39" w:rsidP="00DB6CD8">
      <w:pPr>
        <w:ind w:firstLine="0"/>
        <w:rPr>
          <w:rFonts w:cs="Times New Roman"/>
          <w:szCs w:val="24"/>
        </w:rPr>
      </w:pPr>
      <w:r w:rsidRPr="00D05FAA">
        <w:rPr>
          <w:rFonts w:cs="Times New Roman"/>
          <w:b/>
          <w:bCs/>
          <w:szCs w:val="24"/>
        </w:rPr>
        <w:t>RESULTADOS</w:t>
      </w:r>
      <w:r w:rsidRPr="00D05FAA">
        <w:rPr>
          <w:rFonts w:cs="Times New Roman"/>
          <w:szCs w:val="24"/>
        </w:rPr>
        <w:t>:</w:t>
      </w:r>
      <w:bookmarkStart w:id="1" w:name="_Toc156161757"/>
      <w:bookmarkStart w:id="2" w:name="_Toc173270115"/>
    </w:p>
    <w:p w14:paraId="09070C64" w14:textId="77777777" w:rsidR="00D17D58" w:rsidRPr="00D17D58" w:rsidRDefault="00D17D58" w:rsidP="006C0D8D">
      <w:r w:rsidRPr="00D17D58">
        <w:t>En esta investigación se utilizó el Alfa de Cronbach para evaluar la consistencia interna del cuestionario aplicado, garantizando que los ítems estuvieran correlacionados y midieran de manera coherente el mismo concepto. Este coeficiente, ampliamente reconocido en la investigación social y educativa, oscila entre 0 y 1, donde valores cercanos a 1 indican alta fiabilidad. Según la literatura, un rango entre 0.7 y 0.90 refleja buena consistencia interna.</w:t>
      </w:r>
    </w:p>
    <w:p w14:paraId="50EE949B" w14:textId="77777777" w:rsidR="00D17D58" w:rsidRPr="00D17D58" w:rsidRDefault="00D17D58" w:rsidP="006C0D8D">
      <w:r w:rsidRPr="00D17D58">
        <w:t xml:space="preserve">El cuestionario aplicado incluyó ítems relacionados con diagnóstico, pronóstico, seguimiento del tratamiento, seguridad y efectos adversos en pacientes oncológicos tratados con el radiofármaco [18F] </w:t>
      </w:r>
      <w:proofErr w:type="spellStart"/>
      <w:r w:rsidRPr="00D17D58">
        <w:t>fludesoxiglucosa</w:t>
      </w:r>
      <w:proofErr w:type="spellEnd"/>
      <w:r w:rsidRPr="00D17D58">
        <w:t xml:space="preserve"> en el Hospital Guillermo Almenara.</w:t>
      </w:r>
    </w:p>
    <w:p w14:paraId="7076508A" w14:textId="77777777" w:rsidR="00D17D58" w:rsidRPr="00D17D58" w:rsidRDefault="00D17D58" w:rsidP="006C0D8D">
      <w:r w:rsidRPr="00D17D58">
        <w:t>El análisis realizado en SPSS (versión 27) mostró que de los 334 casos válidos no hubo exclusiones, y el valor obtenido para el Alfa de Cronbach fue de 0.990, lo que supera ampliamente el umbral de 0.7.</w:t>
      </w:r>
    </w:p>
    <w:p w14:paraId="048FE374" w14:textId="0BD46CFA" w:rsidR="00D17D58" w:rsidRDefault="00D17D58" w:rsidP="006C0D8D">
      <w:r w:rsidRPr="00D17D58">
        <w:t>Conclusión: El instrumento present</w:t>
      </w:r>
      <w:r>
        <w:t>o</w:t>
      </w:r>
      <w:r w:rsidRPr="00D17D58">
        <w:t xml:space="preserve"> una fiabilidad excelente, asegurando que los datos recolectados son consistentes y válidos para evaluar el impacto del radiofármaco en los pacientes oncológicos.</w:t>
      </w:r>
    </w:p>
    <w:p w14:paraId="5CB5F1A2" w14:textId="005994C4" w:rsidR="00D17D58" w:rsidRPr="00D17D58" w:rsidRDefault="00D17D58" w:rsidP="00D17D58">
      <w:pPr>
        <w:pBdr>
          <w:top w:val="nil"/>
          <w:left w:val="nil"/>
          <w:bottom w:val="nil"/>
          <w:right w:val="nil"/>
          <w:between w:val="nil"/>
        </w:pBdr>
        <w:ind w:firstLine="0"/>
        <w:jc w:val="left"/>
        <w:rPr>
          <w:rFonts w:eastAsia="Times New Roman" w:cs="Times New Roman"/>
          <w:b/>
          <w:color w:val="000000"/>
          <w:szCs w:val="24"/>
          <w:lang w:eastAsia="es-PE"/>
        </w:rPr>
      </w:pPr>
      <w:r w:rsidRPr="00D17D58">
        <w:rPr>
          <w:rFonts w:eastAsia="Times New Roman" w:cs="Times New Roman"/>
          <w:b/>
          <w:color w:val="000000"/>
          <w:szCs w:val="24"/>
          <w:lang w:eastAsia="es-PE"/>
        </w:rPr>
        <w:t>Tabla 1</w:t>
      </w:r>
    </w:p>
    <w:p w14:paraId="4B03B183" w14:textId="77777777" w:rsidR="00D17D58" w:rsidRPr="00D17D58" w:rsidRDefault="00D17D58" w:rsidP="00D17D58">
      <w:pPr>
        <w:pBdr>
          <w:top w:val="nil"/>
          <w:left w:val="nil"/>
          <w:bottom w:val="nil"/>
          <w:right w:val="nil"/>
          <w:between w:val="nil"/>
        </w:pBdr>
        <w:ind w:firstLine="0"/>
        <w:jc w:val="left"/>
        <w:rPr>
          <w:rFonts w:eastAsia="Times New Roman" w:cs="Times New Roman"/>
          <w:i/>
          <w:color w:val="000000"/>
          <w:szCs w:val="24"/>
          <w:lang w:eastAsia="es-PE"/>
        </w:rPr>
      </w:pPr>
      <w:r w:rsidRPr="00D17D58">
        <w:rPr>
          <w:rFonts w:eastAsia="Times New Roman" w:cs="Times New Roman"/>
          <w:b/>
          <w:color w:val="000000"/>
          <w:szCs w:val="24"/>
          <w:lang w:eastAsia="es-PE"/>
        </w:rPr>
        <w:t xml:space="preserve"> </w:t>
      </w:r>
      <w:r w:rsidRPr="00D17D58">
        <w:rPr>
          <w:rFonts w:eastAsia="Times New Roman" w:cs="Times New Roman"/>
          <w:i/>
          <w:color w:val="000000"/>
          <w:szCs w:val="24"/>
          <w:lang w:eastAsia="es-PE"/>
        </w:rPr>
        <w:t>Resumen del procedimiento de casos</w:t>
      </w:r>
    </w:p>
    <w:tbl>
      <w:tblPr>
        <w:tblW w:w="8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28"/>
        <w:gridCol w:w="2321"/>
        <w:gridCol w:w="2192"/>
        <w:gridCol w:w="2195"/>
      </w:tblGrid>
      <w:tr w:rsidR="00D17D58" w:rsidRPr="00D17D58" w14:paraId="6F01F1F7" w14:textId="77777777" w:rsidTr="00F108A1">
        <w:trPr>
          <w:cantSplit/>
          <w:trHeight w:val="411"/>
        </w:trPr>
        <w:tc>
          <w:tcPr>
            <w:tcW w:w="4149" w:type="dxa"/>
            <w:gridSpan w:val="2"/>
            <w:tcBorders>
              <w:top w:val="single" w:sz="4" w:space="0" w:color="auto"/>
              <w:left w:val="nil"/>
              <w:bottom w:val="single" w:sz="8" w:space="0" w:color="152935"/>
              <w:right w:val="nil"/>
            </w:tcBorders>
            <w:shd w:val="clear" w:color="auto" w:fill="FFFFFF"/>
            <w:vAlign w:val="bottom"/>
          </w:tcPr>
          <w:p w14:paraId="7709B244" w14:textId="77777777" w:rsidR="00D17D58" w:rsidRPr="00D17D58" w:rsidRDefault="00D17D58" w:rsidP="00D17D58">
            <w:pPr>
              <w:rPr>
                <w:rFonts w:eastAsia="Times New Roman" w:cs="Times New Roman"/>
                <w:color w:val="000000"/>
                <w:sz w:val="22"/>
                <w:lang w:eastAsia="es-PE"/>
              </w:rPr>
            </w:pPr>
          </w:p>
        </w:tc>
        <w:tc>
          <w:tcPr>
            <w:tcW w:w="2192" w:type="dxa"/>
            <w:tcBorders>
              <w:top w:val="single" w:sz="4" w:space="0" w:color="auto"/>
              <w:left w:val="nil"/>
              <w:bottom w:val="single" w:sz="8" w:space="0" w:color="152935"/>
              <w:right w:val="single" w:sz="8" w:space="0" w:color="E0E0E0"/>
            </w:tcBorders>
            <w:shd w:val="clear" w:color="auto" w:fill="FFFFFF"/>
            <w:vAlign w:val="bottom"/>
          </w:tcPr>
          <w:p w14:paraId="4A08E266" w14:textId="77777777" w:rsidR="00D17D58" w:rsidRPr="00D17D58" w:rsidRDefault="00D17D58" w:rsidP="00D17D58">
            <w:pPr>
              <w:ind w:left="60" w:right="60"/>
              <w:jc w:val="center"/>
              <w:rPr>
                <w:rFonts w:eastAsia="Arial" w:cs="Times New Roman"/>
                <w:color w:val="264A60"/>
                <w:sz w:val="22"/>
                <w:lang w:eastAsia="es-PE"/>
              </w:rPr>
            </w:pPr>
            <w:r w:rsidRPr="00D17D58">
              <w:rPr>
                <w:rFonts w:eastAsia="Arial" w:cs="Times New Roman"/>
                <w:color w:val="264A60"/>
                <w:sz w:val="22"/>
                <w:lang w:eastAsia="es-PE"/>
              </w:rPr>
              <w:t>N</w:t>
            </w:r>
          </w:p>
        </w:tc>
        <w:tc>
          <w:tcPr>
            <w:tcW w:w="2195" w:type="dxa"/>
            <w:tcBorders>
              <w:top w:val="single" w:sz="4" w:space="0" w:color="auto"/>
              <w:left w:val="single" w:sz="8" w:space="0" w:color="E0E0E0"/>
              <w:bottom w:val="single" w:sz="8" w:space="0" w:color="152935"/>
              <w:right w:val="nil"/>
            </w:tcBorders>
            <w:shd w:val="clear" w:color="auto" w:fill="FFFFFF"/>
            <w:vAlign w:val="bottom"/>
          </w:tcPr>
          <w:p w14:paraId="51E23B18" w14:textId="77777777" w:rsidR="00D17D58" w:rsidRPr="00D17D58" w:rsidRDefault="00D17D58" w:rsidP="00D17D58">
            <w:pPr>
              <w:ind w:left="60" w:right="60"/>
              <w:jc w:val="center"/>
              <w:rPr>
                <w:rFonts w:eastAsia="Arial" w:cs="Times New Roman"/>
                <w:color w:val="264A60"/>
                <w:sz w:val="22"/>
                <w:lang w:eastAsia="es-PE"/>
              </w:rPr>
            </w:pPr>
            <w:r w:rsidRPr="00D17D58">
              <w:rPr>
                <w:rFonts w:eastAsia="Arial" w:cs="Times New Roman"/>
                <w:color w:val="264A60"/>
                <w:sz w:val="22"/>
                <w:lang w:eastAsia="es-PE"/>
              </w:rPr>
              <w:t>%</w:t>
            </w:r>
          </w:p>
        </w:tc>
      </w:tr>
      <w:tr w:rsidR="00D17D58" w:rsidRPr="00D17D58" w14:paraId="14B8571C" w14:textId="77777777" w:rsidTr="00F108A1">
        <w:trPr>
          <w:cantSplit/>
          <w:trHeight w:val="670"/>
        </w:trPr>
        <w:tc>
          <w:tcPr>
            <w:tcW w:w="1828" w:type="dxa"/>
            <w:vMerge w:val="restart"/>
            <w:tcBorders>
              <w:top w:val="single" w:sz="8" w:space="0" w:color="152935"/>
              <w:left w:val="nil"/>
              <w:bottom w:val="single" w:sz="8" w:space="0" w:color="152935"/>
              <w:right w:val="nil"/>
            </w:tcBorders>
            <w:shd w:val="clear" w:color="auto" w:fill="E0E0E0"/>
          </w:tcPr>
          <w:p w14:paraId="38AC804D" w14:textId="77777777" w:rsidR="00D17D58" w:rsidRPr="00D17D58" w:rsidRDefault="00D17D58" w:rsidP="00D17D58">
            <w:pPr>
              <w:ind w:left="60" w:right="60"/>
              <w:rPr>
                <w:rFonts w:eastAsia="Arial" w:cs="Times New Roman"/>
                <w:color w:val="264A60"/>
                <w:sz w:val="22"/>
                <w:lang w:eastAsia="es-PE"/>
              </w:rPr>
            </w:pPr>
            <w:r w:rsidRPr="00D17D58">
              <w:rPr>
                <w:rFonts w:eastAsia="Arial" w:cs="Times New Roman"/>
                <w:color w:val="264A60"/>
                <w:sz w:val="22"/>
                <w:lang w:eastAsia="es-PE"/>
              </w:rPr>
              <w:t>Casos</w:t>
            </w:r>
          </w:p>
        </w:tc>
        <w:tc>
          <w:tcPr>
            <w:tcW w:w="2321" w:type="dxa"/>
            <w:tcBorders>
              <w:top w:val="single" w:sz="8" w:space="0" w:color="152935"/>
              <w:left w:val="nil"/>
              <w:bottom w:val="single" w:sz="8" w:space="0" w:color="AEAEAE"/>
              <w:right w:val="nil"/>
            </w:tcBorders>
            <w:shd w:val="clear" w:color="auto" w:fill="E0E0E0"/>
          </w:tcPr>
          <w:p w14:paraId="4CC2CF48" w14:textId="77777777" w:rsidR="00D17D58" w:rsidRPr="00D17D58" w:rsidRDefault="00D17D58" w:rsidP="00D17D58">
            <w:pPr>
              <w:ind w:left="60" w:right="60"/>
              <w:rPr>
                <w:rFonts w:eastAsia="Arial" w:cs="Times New Roman"/>
                <w:color w:val="264A60"/>
                <w:sz w:val="22"/>
                <w:lang w:eastAsia="es-PE"/>
              </w:rPr>
            </w:pPr>
            <w:r w:rsidRPr="00D17D58">
              <w:rPr>
                <w:rFonts w:eastAsia="Arial" w:cs="Times New Roman"/>
                <w:color w:val="264A60"/>
                <w:sz w:val="22"/>
                <w:lang w:eastAsia="es-PE"/>
              </w:rPr>
              <w:t>Válido</w:t>
            </w:r>
          </w:p>
        </w:tc>
        <w:tc>
          <w:tcPr>
            <w:tcW w:w="2192" w:type="dxa"/>
            <w:tcBorders>
              <w:top w:val="single" w:sz="8" w:space="0" w:color="152935"/>
              <w:left w:val="nil"/>
              <w:bottom w:val="single" w:sz="8" w:space="0" w:color="AEAEAE"/>
              <w:right w:val="single" w:sz="8" w:space="0" w:color="E0E0E0"/>
            </w:tcBorders>
            <w:shd w:val="clear" w:color="auto" w:fill="FFFFFF"/>
          </w:tcPr>
          <w:p w14:paraId="6896D7AB" w14:textId="77777777" w:rsidR="00D17D58" w:rsidRPr="00D17D58" w:rsidRDefault="00D17D58" w:rsidP="00D17D58">
            <w:pPr>
              <w:ind w:left="60" w:right="60"/>
              <w:jc w:val="right"/>
              <w:rPr>
                <w:rFonts w:eastAsia="Arial" w:cs="Times New Roman"/>
                <w:color w:val="010205"/>
                <w:sz w:val="22"/>
                <w:lang w:eastAsia="es-PE"/>
              </w:rPr>
            </w:pPr>
            <w:r w:rsidRPr="00D17D58">
              <w:rPr>
                <w:rFonts w:eastAsia="Arial" w:cs="Times New Roman"/>
                <w:color w:val="010205"/>
                <w:sz w:val="22"/>
                <w:lang w:eastAsia="es-PE"/>
              </w:rPr>
              <w:t>334</w:t>
            </w:r>
          </w:p>
        </w:tc>
        <w:tc>
          <w:tcPr>
            <w:tcW w:w="2195" w:type="dxa"/>
            <w:tcBorders>
              <w:top w:val="single" w:sz="8" w:space="0" w:color="152935"/>
              <w:left w:val="single" w:sz="8" w:space="0" w:color="E0E0E0"/>
              <w:bottom w:val="single" w:sz="8" w:space="0" w:color="AEAEAE"/>
              <w:right w:val="nil"/>
            </w:tcBorders>
            <w:shd w:val="clear" w:color="auto" w:fill="FFFFFF"/>
          </w:tcPr>
          <w:p w14:paraId="7DDCA524" w14:textId="77777777" w:rsidR="00D17D58" w:rsidRPr="00D17D58" w:rsidRDefault="00D17D58" w:rsidP="00D17D58">
            <w:pPr>
              <w:ind w:left="60" w:right="60"/>
              <w:jc w:val="right"/>
              <w:rPr>
                <w:rFonts w:eastAsia="Arial" w:cs="Times New Roman"/>
                <w:color w:val="010205"/>
                <w:sz w:val="22"/>
                <w:lang w:eastAsia="es-PE"/>
              </w:rPr>
            </w:pPr>
            <w:r w:rsidRPr="00D17D58">
              <w:rPr>
                <w:rFonts w:eastAsia="Arial" w:cs="Times New Roman"/>
                <w:color w:val="010205"/>
                <w:sz w:val="22"/>
                <w:lang w:eastAsia="es-PE"/>
              </w:rPr>
              <w:t>100,0</w:t>
            </w:r>
          </w:p>
        </w:tc>
      </w:tr>
      <w:tr w:rsidR="00D17D58" w:rsidRPr="00D17D58" w14:paraId="5E841826" w14:textId="77777777" w:rsidTr="00F108A1">
        <w:trPr>
          <w:cantSplit/>
          <w:trHeight w:val="148"/>
        </w:trPr>
        <w:tc>
          <w:tcPr>
            <w:tcW w:w="1828" w:type="dxa"/>
            <w:vMerge/>
            <w:tcBorders>
              <w:top w:val="single" w:sz="8" w:space="0" w:color="152935"/>
              <w:left w:val="nil"/>
              <w:bottom w:val="single" w:sz="8" w:space="0" w:color="152935"/>
              <w:right w:val="nil"/>
            </w:tcBorders>
            <w:shd w:val="clear" w:color="auto" w:fill="E0E0E0"/>
          </w:tcPr>
          <w:p w14:paraId="7EF2788D" w14:textId="77777777" w:rsidR="00D17D58" w:rsidRPr="00D17D58" w:rsidRDefault="00D17D58" w:rsidP="00D17D58">
            <w:pPr>
              <w:widowControl w:val="0"/>
              <w:pBdr>
                <w:top w:val="nil"/>
                <w:left w:val="nil"/>
                <w:bottom w:val="nil"/>
                <w:right w:val="nil"/>
                <w:between w:val="nil"/>
              </w:pBdr>
              <w:spacing w:line="276" w:lineRule="auto"/>
              <w:ind w:firstLine="0"/>
              <w:jc w:val="left"/>
              <w:rPr>
                <w:rFonts w:eastAsia="Arial" w:cs="Times New Roman"/>
                <w:color w:val="010205"/>
                <w:sz w:val="22"/>
                <w:lang w:eastAsia="es-PE"/>
              </w:rPr>
            </w:pPr>
          </w:p>
        </w:tc>
        <w:tc>
          <w:tcPr>
            <w:tcW w:w="2321" w:type="dxa"/>
            <w:tcBorders>
              <w:top w:val="single" w:sz="8" w:space="0" w:color="AEAEAE"/>
              <w:left w:val="nil"/>
              <w:bottom w:val="single" w:sz="8" w:space="0" w:color="AEAEAE"/>
              <w:right w:val="nil"/>
            </w:tcBorders>
            <w:shd w:val="clear" w:color="auto" w:fill="E0E0E0"/>
          </w:tcPr>
          <w:p w14:paraId="3707BFF2" w14:textId="77777777" w:rsidR="00D17D58" w:rsidRPr="00D17D58" w:rsidRDefault="00D17D58" w:rsidP="00D17D58">
            <w:pPr>
              <w:ind w:left="60" w:right="60"/>
              <w:rPr>
                <w:rFonts w:eastAsia="Arial" w:cs="Times New Roman"/>
                <w:color w:val="264A60"/>
                <w:sz w:val="22"/>
                <w:lang w:eastAsia="es-PE"/>
              </w:rPr>
            </w:pPr>
            <w:r w:rsidRPr="00D17D58">
              <w:rPr>
                <w:rFonts w:eastAsia="Arial" w:cs="Times New Roman"/>
                <w:color w:val="264A60"/>
                <w:sz w:val="22"/>
                <w:lang w:eastAsia="es-PE"/>
              </w:rPr>
              <w:t>Excluido</w:t>
            </w:r>
          </w:p>
        </w:tc>
        <w:tc>
          <w:tcPr>
            <w:tcW w:w="2192" w:type="dxa"/>
            <w:tcBorders>
              <w:top w:val="single" w:sz="8" w:space="0" w:color="AEAEAE"/>
              <w:left w:val="nil"/>
              <w:bottom w:val="single" w:sz="8" w:space="0" w:color="AEAEAE"/>
              <w:right w:val="single" w:sz="8" w:space="0" w:color="E0E0E0"/>
            </w:tcBorders>
            <w:shd w:val="clear" w:color="auto" w:fill="FFFFFF"/>
          </w:tcPr>
          <w:p w14:paraId="3F5B712B" w14:textId="77777777" w:rsidR="00D17D58" w:rsidRPr="00D17D58" w:rsidRDefault="00D17D58" w:rsidP="00D17D58">
            <w:pPr>
              <w:ind w:left="60" w:right="60"/>
              <w:jc w:val="right"/>
              <w:rPr>
                <w:rFonts w:eastAsia="Arial" w:cs="Times New Roman"/>
                <w:color w:val="010205"/>
                <w:sz w:val="22"/>
                <w:lang w:eastAsia="es-PE"/>
              </w:rPr>
            </w:pPr>
            <w:r w:rsidRPr="00D17D58">
              <w:rPr>
                <w:rFonts w:eastAsia="Arial" w:cs="Times New Roman"/>
                <w:color w:val="010205"/>
                <w:sz w:val="22"/>
                <w:lang w:eastAsia="es-PE"/>
              </w:rPr>
              <w:t>0</w:t>
            </w:r>
          </w:p>
        </w:tc>
        <w:tc>
          <w:tcPr>
            <w:tcW w:w="2195" w:type="dxa"/>
            <w:tcBorders>
              <w:top w:val="single" w:sz="8" w:space="0" w:color="AEAEAE"/>
              <w:left w:val="single" w:sz="8" w:space="0" w:color="E0E0E0"/>
              <w:bottom w:val="single" w:sz="8" w:space="0" w:color="AEAEAE"/>
              <w:right w:val="nil"/>
            </w:tcBorders>
            <w:shd w:val="clear" w:color="auto" w:fill="FFFFFF"/>
          </w:tcPr>
          <w:p w14:paraId="321158B0" w14:textId="77777777" w:rsidR="00D17D58" w:rsidRPr="00D17D58" w:rsidRDefault="00D17D58" w:rsidP="00D17D58">
            <w:pPr>
              <w:ind w:left="60" w:right="60"/>
              <w:jc w:val="right"/>
              <w:rPr>
                <w:rFonts w:eastAsia="Arial" w:cs="Times New Roman"/>
                <w:color w:val="010205"/>
                <w:sz w:val="22"/>
                <w:lang w:eastAsia="es-PE"/>
              </w:rPr>
            </w:pPr>
            <w:r w:rsidRPr="00D17D58">
              <w:rPr>
                <w:rFonts w:eastAsia="Arial" w:cs="Times New Roman"/>
                <w:color w:val="010205"/>
                <w:sz w:val="22"/>
                <w:lang w:eastAsia="es-PE"/>
              </w:rPr>
              <w:t>,0</w:t>
            </w:r>
          </w:p>
        </w:tc>
      </w:tr>
      <w:tr w:rsidR="00D17D58" w:rsidRPr="00D17D58" w14:paraId="15F0CC3C" w14:textId="77777777" w:rsidTr="00F108A1">
        <w:trPr>
          <w:cantSplit/>
          <w:trHeight w:val="148"/>
        </w:trPr>
        <w:tc>
          <w:tcPr>
            <w:tcW w:w="1828" w:type="dxa"/>
            <w:vMerge/>
            <w:tcBorders>
              <w:top w:val="single" w:sz="8" w:space="0" w:color="152935"/>
              <w:left w:val="nil"/>
              <w:bottom w:val="single" w:sz="8" w:space="0" w:color="152935"/>
              <w:right w:val="nil"/>
            </w:tcBorders>
            <w:shd w:val="clear" w:color="auto" w:fill="E0E0E0"/>
          </w:tcPr>
          <w:p w14:paraId="0C9F5D33" w14:textId="77777777" w:rsidR="00D17D58" w:rsidRPr="00D17D58" w:rsidRDefault="00D17D58" w:rsidP="00D17D58">
            <w:pPr>
              <w:widowControl w:val="0"/>
              <w:pBdr>
                <w:top w:val="nil"/>
                <w:left w:val="nil"/>
                <w:bottom w:val="nil"/>
                <w:right w:val="nil"/>
                <w:between w:val="nil"/>
              </w:pBdr>
              <w:spacing w:line="276" w:lineRule="auto"/>
              <w:ind w:firstLine="0"/>
              <w:jc w:val="left"/>
              <w:rPr>
                <w:rFonts w:eastAsia="Arial" w:cs="Times New Roman"/>
                <w:color w:val="010205"/>
                <w:sz w:val="22"/>
                <w:lang w:eastAsia="es-PE"/>
              </w:rPr>
            </w:pPr>
          </w:p>
        </w:tc>
        <w:tc>
          <w:tcPr>
            <w:tcW w:w="2321" w:type="dxa"/>
            <w:tcBorders>
              <w:top w:val="single" w:sz="8" w:space="0" w:color="AEAEAE"/>
              <w:left w:val="nil"/>
              <w:bottom w:val="single" w:sz="8" w:space="0" w:color="152935"/>
              <w:right w:val="nil"/>
            </w:tcBorders>
            <w:shd w:val="clear" w:color="auto" w:fill="E0E0E0"/>
          </w:tcPr>
          <w:p w14:paraId="58C71683" w14:textId="77777777" w:rsidR="00D17D58" w:rsidRPr="00D17D58" w:rsidRDefault="00D17D58" w:rsidP="00D17D58">
            <w:pPr>
              <w:ind w:left="60" w:right="60"/>
              <w:rPr>
                <w:rFonts w:eastAsia="Arial" w:cs="Times New Roman"/>
                <w:color w:val="264A60"/>
                <w:sz w:val="22"/>
                <w:lang w:eastAsia="es-PE"/>
              </w:rPr>
            </w:pPr>
            <w:r w:rsidRPr="00D17D58">
              <w:rPr>
                <w:rFonts w:eastAsia="Arial" w:cs="Times New Roman"/>
                <w:color w:val="264A60"/>
                <w:sz w:val="22"/>
                <w:lang w:eastAsia="es-PE"/>
              </w:rPr>
              <w:t>Total</w:t>
            </w:r>
          </w:p>
        </w:tc>
        <w:tc>
          <w:tcPr>
            <w:tcW w:w="2192" w:type="dxa"/>
            <w:tcBorders>
              <w:top w:val="single" w:sz="8" w:space="0" w:color="AEAEAE"/>
              <w:left w:val="nil"/>
              <w:bottom w:val="single" w:sz="8" w:space="0" w:color="152935"/>
              <w:right w:val="single" w:sz="8" w:space="0" w:color="E0E0E0"/>
            </w:tcBorders>
            <w:shd w:val="clear" w:color="auto" w:fill="FFFFFF"/>
          </w:tcPr>
          <w:p w14:paraId="68B78723" w14:textId="77777777" w:rsidR="00D17D58" w:rsidRPr="00D17D58" w:rsidRDefault="00D17D58" w:rsidP="00D17D58">
            <w:pPr>
              <w:ind w:left="60" w:right="60"/>
              <w:jc w:val="right"/>
              <w:rPr>
                <w:rFonts w:eastAsia="Arial" w:cs="Times New Roman"/>
                <w:color w:val="010205"/>
                <w:sz w:val="22"/>
                <w:lang w:eastAsia="es-PE"/>
              </w:rPr>
            </w:pPr>
            <w:r w:rsidRPr="00D17D58">
              <w:rPr>
                <w:rFonts w:eastAsia="Arial" w:cs="Times New Roman"/>
                <w:color w:val="010205"/>
                <w:sz w:val="22"/>
                <w:lang w:eastAsia="es-PE"/>
              </w:rPr>
              <w:t>334</w:t>
            </w:r>
          </w:p>
        </w:tc>
        <w:tc>
          <w:tcPr>
            <w:tcW w:w="2195" w:type="dxa"/>
            <w:tcBorders>
              <w:top w:val="single" w:sz="8" w:space="0" w:color="AEAEAE"/>
              <w:left w:val="single" w:sz="8" w:space="0" w:color="E0E0E0"/>
              <w:bottom w:val="single" w:sz="8" w:space="0" w:color="152935"/>
              <w:right w:val="nil"/>
            </w:tcBorders>
            <w:shd w:val="clear" w:color="auto" w:fill="FFFFFF"/>
          </w:tcPr>
          <w:p w14:paraId="63C84AF7" w14:textId="77777777" w:rsidR="00D17D58" w:rsidRPr="00D17D58" w:rsidRDefault="00D17D58" w:rsidP="00D17D58">
            <w:pPr>
              <w:ind w:left="60" w:right="60"/>
              <w:jc w:val="right"/>
              <w:rPr>
                <w:rFonts w:eastAsia="Arial" w:cs="Times New Roman"/>
                <w:color w:val="010205"/>
                <w:sz w:val="22"/>
                <w:lang w:eastAsia="es-PE"/>
              </w:rPr>
            </w:pPr>
            <w:r w:rsidRPr="00D17D58">
              <w:rPr>
                <w:rFonts w:eastAsia="Arial" w:cs="Times New Roman"/>
                <w:color w:val="010205"/>
                <w:sz w:val="22"/>
                <w:lang w:eastAsia="es-PE"/>
              </w:rPr>
              <w:t>100,0</w:t>
            </w:r>
          </w:p>
        </w:tc>
      </w:tr>
    </w:tbl>
    <w:p w14:paraId="51D7DFDB" w14:textId="77777777" w:rsidR="00D17D58" w:rsidRPr="00D17D58" w:rsidRDefault="00D17D58" w:rsidP="00D17D58">
      <w:pPr>
        <w:ind w:firstLine="0"/>
        <w:rPr>
          <w:rFonts w:eastAsia="Times New Roman" w:cs="Times New Roman"/>
          <w:color w:val="000000"/>
          <w:szCs w:val="24"/>
          <w:lang w:eastAsia="es-PE"/>
        </w:rPr>
      </w:pPr>
      <w:r w:rsidRPr="00D17D58">
        <w:rPr>
          <w:rFonts w:eastAsia="Times New Roman" w:cs="Times New Roman"/>
          <w:i/>
          <w:color w:val="000000"/>
          <w:szCs w:val="24"/>
          <w:lang w:eastAsia="es-PE"/>
        </w:rPr>
        <w:t>Nota.</w:t>
      </w:r>
      <w:r w:rsidRPr="00D17D58">
        <w:rPr>
          <w:rFonts w:eastAsia="Times New Roman" w:cs="Times New Roman"/>
          <w:color w:val="000000"/>
          <w:szCs w:val="24"/>
          <w:lang w:eastAsia="es-PE"/>
        </w:rPr>
        <w:t xml:space="preserve"> Elaboración propia, recogido del SPSS</w:t>
      </w:r>
    </w:p>
    <w:p w14:paraId="61B3A807" w14:textId="77777777" w:rsidR="00D17D58" w:rsidRPr="00D17D58" w:rsidRDefault="00D17D58" w:rsidP="00D17D58">
      <w:pPr>
        <w:pBdr>
          <w:top w:val="nil"/>
          <w:left w:val="nil"/>
          <w:bottom w:val="nil"/>
          <w:right w:val="nil"/>
          <w:between w:val="nil"/>
        </w:pBdr>
        <w:ind w:firstLine="0"/>
        <w:jc w:val="left"/>
        <w:rPr>
          <w:rFonts w:eastAsia="Times New Roman" w:cs="Times New Roman"/>
          <w:b/>
          <w:color w:val="000000"/>
          <w:szCs w:val="24"/>
          <w:lang w:eastAsia="es-PE"/>
        </w:rPr>
      </w:pPr>
      <w:bookmarkStart w:id="3" w:name="_heading=h.mau344s8tgm" w:colFirst="0" w:colLast="0"/>
      <w:bookmarkEnd w:id="3"/>
    </w:p>
    <w:p w14:paraId="3262A041" w14:textId="3F4CCCCC" w:rsidR="00D17D58" w:rsidRPr="00D17D58" w:rsidRDefault="00D17D58" w:rsidP="00D17D58">
      <w:pPr>
        <w:pBdr>
          <w:top w:val="nil"/>
          <w:left w:val="nil"/>
          <w:bottom w:val="nil"/>
          <w:right w:val="nil"/>
          <w:between w:val="nil"/>
        </w:pBdr>
        <w:ind w:firstLine="0"/>
        <w:jc w:val="left"/>
        <w:rPr>
          <w:rFonts w:eastAsia="Times New Roman" w:cs="Times New Roman"/>
          <w:b/>
          <w:color w:val="000000"/>
          <w:szCs w:val="24"/>
          <w:lang w:eastAsia="es-PE"/>
        </w:rPr>
      </w:pPr>
      <w:r w:rsidRPr="00D17D58">
        <w:rPr>
          <w:rFonts w:eastAsia="Times New Roman" w:cs="Times New Roman"/>
          <w:b/>
          <w:color w:val="000000"/>
          <w:szCs w:val="24"/>
          <w:lang w:eastAsia="es-PE"/>
        </w:rPr>
        <w:lastRenderedPageBreak/>
        <w:t xml:space="preserve">Tabla </w:t>
      </w:r>
      <w:r>
        <w:rPr>
          <w:rFonts w:eastAsia="Times New Roman" w:cs="Times New Roman"/>
          <w:b/>
          <w:color w:val="000000"/>
          <w:szCs w:val="24"/>
          <w:lang w:eastAsia="es-PE"/>
        </w:rPr>
        <w:t>2</w:t>
      </w:r>
    </w:p>
    <w:p w14:paraId="0CAAB25C" w14:textId="77777777" w:rsidR="00D17D58" w:rsidRPr="00D17D58" w:rsidRDefault="00D17D58" w:rsidP="00D17D58">
      <w:pPr>
        <w:pBdr>
          <w:top w:val="nil"/>
          <w:left w:val="nil"/>
          <w:bottom w:val="nil"/>
          <w:right w:val="nil"/>
          <w:between w:val="nil"/>
        </w:pBdr>
        <w:ind w:firstLine="0"/>
        <w:jc w:val="left"/>
        <w:rPr>
          <w:rFonts w:eastAsia="Times New Roman" w:cs="Times New Roman"/>
          <w:i/>
          <w:color w:val="000000"/>
          <w:szCs w:val="24"/>
          <w:lang w:eastAsia="es-PE"/>
        </w:rPr>
      </w:pPr>
      <w:r w:rsidRPr="00D17D58">
        <w:rPr>
          <w:rFonts w:eastAsia="Times New Roman" w:cs="Times New Roman"/>
          <w:i/>
          <w:color w:val="000000"/>
          <w:szCs w:val="24"/>
          <w:lang w:eastAsia="es-PE"/>
        </w:rPr>
        <w:t>Estadística de fiabilidad</w:t>
      </w:r>
    </w:p>
    <w:tbl>
      <w:tblPr>
        <w:tblpPr w:leftFromText="141" w:rightFromText="141" w:vertAnchor="text" w:tblpY="266"/>
        <w:tblW w:w="8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330"/>
        <w:gridCol w:w="4331"/>
      </w:tblGrid>
      <w:tr w:rsidR="00D17D58" w:rsidRPr="00D17D58" w14:paraId="392C2314" w14:textId="77777777" w:rsidTr="00F108A1">
        <w:trPr>
          <w:cantSplit/>
          <w:trHeight w:val="662"/>
        </w:trPr>
        <w:tc>
          <w:tcPr>
            <w:tcW w:w="4330" w:type="dxa"/>
            <w:tcBorders>
              <w:top w:val="single" w:sz="4" w:space="0" w:color="auto"/>
              <w:left w:val="nil"/>
              <w:bottom w:val="single" w:sz="8" w:space="0" w:color="152935"/>
              <w:right w:val="single" w:sz="8" w:space="0" w:color="E0E0E0"/>
            </w:tcBorders>
            <w:shd w:val="clear" w:color="auto" w:fill="FFFFFF"/>
            <w:vAlign w:val="bottom"/>
          </w:tcPr>
          <w:p w14:paraId="0B89379C" w14:textId="77777777" w:rsidR="00D17D58" w:rsidRPr="00D17D58" w:rsidRDefault="00D17D58" w:rsidP="00D17D58">
            <w:pPr>
              <w:ind w:left="60" w:right="60"/>
              <w:jc w:val="center"/>
              <w:rPr>
                <w:rFonts w:eastAsia="Arial" w:cs="Times New Roman"/>
                <w:color w:val="264A60"/>
                <w:szCs w:val="24"/>
                <w:lang w:eastAsia="es-PE"/>
              </w:rPr>
            </w:pPr>
            <w:r w:rsidRPr="00D17D58">
              <w:rPr>
                <w:rFonts w:eastAsia="Arial" w:cs="Times New Roman"/>
                <w:color w:val="264A60"/>
                <w:szCs w:val="24"/>
                <w:lang w:eastAsia="es-PE"/>
              </w:rPr>
              <w:t>Alfa de Cronbach</w:t>
            </w:r>
          </w:p>
        </w:tc>
        <w:tc>
          <w:tcPr>
            <w:tcW w:w="4331" w:type="dxa"/>
            <w:tcBorders>
              <w:top w:val="single" w:sz="4" w:space="0" w:color="auto"/>
              <w:left w:val="single" w:sz="8" w:space="0" w:color="E0E0E0"/>
              <w:bottom w:val="single" w:sz="8" w:space="0" w:color="152935"/>
              <w:right w:val="nil"/>
            </w:tcBorders>
            <w:shd w:val="clear" w:color="auto" w:fill="FFFFFF"/>
            <w:vAlign w:val="bottom"/>
          </w:tcPr>
          <w:p w14:paraId="2A271A63" w14:textId="77777777" w:rsidR="00D17D58" w:rsidRPr="00D17D58" w:rsidRDefault="00D17D58" w:rsidP="00D17D58">
            <w:pPr>
              <w:ind w:left="60" w:right="60"/>
              <w:jc w:val="center"/>
              <w:rPr>
                <w:rFonts w:eastAsia="Arial" w:cs="Times New Roman"/>
                <w:color w:val="264A60"/>
                <w:szCs w:val="24"/>
                <w:lang w:eastAsia="es-PE"/>
              </w:rPr>
            </w:pPr>
            <w:r w:rsidRPr="00D17D58">
              <w:rPr>
                <w:rFonts w:eastAsia="Arial" w:cs="Times New Roman"/>
                <w:color w:val="264A60"/>
                <w:szCs w:val="24"/>
                <w:lang w:eastAsia="es-PE"/>
              </w:rPr>
              <w:t>N de elementos</w:t>
            </w:r>
          </w:p>
        </w:tc>
      </w:tr>
      <w:tr w:rsidR="00D17D58" w:rsidRPr="00D17D58" w14:paraId="2B4E2839" w14:textId="77777777" w:rsidTr="00F108A1">
        <w:trPr>
          <w:cantSplit/>
          <w:trHeight w:val="305"/>
        </w:trPr>
        <w:tc>
          <w:tcPr>
            <w:tcW w:w="4330" w:type="dxa"/>
            <w:tcBorders>
              <w:top w:val="single" w:sz="8" w:space="0" w:color="152935"/>
              <w:left w:val="nil"/>
              <w:bottom w:val="single" w:sz="8" w:space="0" w:color="152935"/>
              <w:right w:val="single" w:sz="8" w:space="0" w:color="E0E0E0"/>
            </w:tcBorders>
            <w:shd w:val="clear" w:color="auto" w:fill="FFFFFF"/>
          </w:tcPr>
          <w:p w14:paraId="6D4A8B4F" w14:textId="77777777" w:rsidR="00D17D58" w:rsidRPr="00D17D58" w:rsidRDefault="00D17D58" w:rsidP="00D17D58">
            <w:pPr>
              <w:ind w:left="60" w:right="60"/>
              <w:jc w:val="right"/>
              <w:rPr>
                <w:rFonts w:eastAsia="Arial" w:cs="Times New Roman"/>
                <w:color w:val="010205"/>
                <w:szCs w:val="24"/>
                <w:lang w:eastAsia="es-PE"/>
              </w:rPr>
            </w:pPr>
            <w:r w:rsidRPr="00D17D58">
              <w:rPr>
                <w:rFonts w:eastAsia="Arial" w:cs="Times New Roman"/>
                <w:color w:val="010205"/>
                <w:szCs w:val="24"/>
                <w:lang w:eastAsia="es-PE"/>
              </w:rPr>
              <w:t>,990</w:t>
            </w:r>
          </w:p>
        </w:tc>
        <w:tc>
          <w:tcPr>
            <w:tcW w:w="4331" w:type="dxa"/>
            <w:tcBorders>
              <w:top w:val="single" w:sz="8" w:space="0" w:color="152935"/>
              <w:left w:val="single" w:sz="8" w:space="0" w:color="E0E0E0"/>
              <w:bottom w:val="single" w:sz="8" w:space="0" w:color="152935"/>
              <w:right w:val="nil"/>
            </w:tcBorders>
            <w:shd w:val="clear" w:color="auto" w:fill="FFFFFF"/>
          </w:tcPr>
          <w:p w14:paraId="5FCF35C1" w14:textId="77777777" w:rsidR="00D17D58" w:rsidRPr="00D17D58" w:rsidRDefault="00D17D58" w:rsidP="00D17D58">
            <w:pPr>
              <w:ind w:left="60" w:right="60"/>
              <w:jc w:val="right"/>
              <w:rPr>
                <w:rFonts w:eastAsia="Arial" w:cs="Times New Roman"/>
                <w:color w:val="010205"/>
                <w:szCs w:val="24"/>
                <w:lang w:eastAsia="es-PE"/>
              </w:rPr>
            </w:pPr>
            <w:r w:rsidRPr="00D17D58">
              <w:rPr>
                <w:rFonts w:eastAsia="Arial" w:cs="Times New Roman"/>
                <w:color w:val="010205"/>
                <w:szCs w:val="24"/>
                <w:lang w:eastAsia="es-PE"/>
              </w:rPr>
              <w:t>334</w:t>
            </w:r>
          </w:p>
        </w:tc>
      </w:tr>
    </w:tbl>
    <w:p w14:paraId="7069D6E4" w14:textId="77777777" w:rsidR="00D17D58" w:rsidRPr="00D17D58" w:rsidRDefault="00D17D58" w:rsidP="00D17D58">
      <w:pPr>
        <w:ind w:firstLine="0"/>
        <w:rPr>
          <w:rFonts w:eastAsia="Times New Roman" w:cs="Times New Roman"/>
          <w:color w:val="000000"/>
          <w:szCs w:val="24"/>
          <w:lang w:eastAsia="es-PE"/>
        </w:rPr>
      </w:pPr>
      <w:r w:rsidRPr="00D17D58">
        <w:rPr>
          <w:rFonts w:eastAsia="Times New Roman" w:cs="Times New Roman"/>
          <w:i/>
          <w:color w:val="000000"/>
          <w:szCs w:val="24"/>
          <w:lang w:eastAsia="es-PE"/>
        </w:rPr>
        <w:t>Nota.</w:t>
      </w:r>
      <w:r w:rsidRPr="00D17D58">
        <w:rPr>
          <w:rFonts w:eastAsia="Times New Roman" w:cs="Times New Roman"/>
          <w:color w:val="000000"/>
          <w:szCs w:val="24"/>
          <w:lang w:eastAsia="es-PE"/>
        </w:rPr>
        <w:t xml:space="preserve"> Elaboración propia, recogido del SPSS</w:t>
      </w:r>
    </w:p>
    <w:p w14:paraId="2765CDE9" w14:textId="77777777" w:rsidR="00D17D58" w:rsidRPr="00D17D58" w:rsidRDefault="00D17D58" w:rsidP="00D17D58">
      <w:pPr>
        <w:ind w:firstLine="709"/>
        <w:rPr>
          <w:rFonts w:eastAsia="Times New Roman" w:cs="Times New Roman"/>
          <w:color w:val="000000"/>
          <w:szCs w:val="24"/>
          <w:lang w:eastAsia="es-PE"/>
        </w:rPr>
      </w:pPr>
    </w:p>
    <w:p w14:paraId="07991879" w14:textId="77777777" w:rsidR="00D17D58" w:rsidRPr="00D17D58" w:rsidRDefault="00D17D58" w:rsidP="00D17D58">
      <w:pPr>
        <w:ind w:firstLine="709"/>
        <w:rPr>
          <w:rFonts w:eastAsia="Times New Roman" w:cs="Times New Roman"/>
          <w:color w:val="000000"/>
          <w:szCs w:val="24"/>
          <w:lang w:eastAsia="es-PE"/>
        </w:rPr>
      </w:pPr>
      <w:r w:rsidRPr="00D17D58">
        <w:rPr>
          <w:rFonts w:eastAsia="Times New Roman" w:cs="Times New Roman"/>
          <w:color w:val="000000"/>
          <w:szCs w:val="24"/>
          <w:lang w:eastAsia="es-PE"/>
        </w:rPr>
        <w:t>El resultado obtenido para el coeficiente Alfa de Cronbach es de 0,990, superior a 0,7, por lo que podemos concluir que la fiabilidad del instrumento es excelente.</w:t>
      </w:r>
    </w:p>
    <w:p w14:paraId="10ED9B94" w14:textId="77777777" w:rsidR="00D17D58" w:rsidRPr="00D17D58" w:rsidRDefault="00D17D58" w:rsidP="006C0D8D">
      <w:pPr>
        <w:rPr>
          <w:lang w:eastAsia="es-PE"/>
        </w:rPr>
      </w:pPr>
      <w:r w:rsidRPr="00D17D58">
        <w:rPr>
          <w:lang w:eastAsia="es-PE"/>
        </w:rPr>
        <w:t xml:space="preserve">La investigación sobre el impacto del radiofármaco </w:t>
      </w:r>
      <w:r w:rsidRPr="00D17D58">
        <w:rPr>
          <w:b/>
          <w:bCs/>
          <w:lang w:eastAsia="es-PE"/>
        </w:rPr>
        <w:t xml:space="preserve">[18F] </w:t>
      </w:r>
      <w:proofErr w:type="spellStart"/>
      <w:r w:rsidRPr="00D17D58">
        <w:rPr>
          <w:b/>
          <w:bCs/>
          <w:lang w:eastAsia="es-PE"/>
        </w:rPr>
        <w:t>fludesoxiglucosa</w:t>
      </w:r>
      <w:proofErr w:type="spellEnd"/>
      <w:r w:rsidRPr="00D17D58">
        <w:rPr>
          <w:b/>
          <w:bCs/>
          <w:lang w:eastAsia="es-PE"/>
        </w:rPr>
        <w:t xml:space="preserve"> (FDG)</w:t>
      </w:r>
      <w:r w:rsidRPr="00D17D58">
        <w:rPr>
          <w:lang w:eastAsia="es-PE"/>
        </w:rPr>
        <w:t xml:space="preserve"> en pacientes oncológicos del Hospital Guillermo Almenara Irigoyen evidenció resultados significativos en la mejora del diagnóstico, pronóstico, planificación y seguimiento del tratamiento. A través de una encuesta aplicada a </w:t>
      </w:r>
      <w:r w:rsidRPr="00D17D58">
        <w:rPr>
          <w:b/>
          <w:bCs/>
          <w:lang w:eastAsia="es-PE"/>
        </w:rPr>
        <w:t>334 pacientes</w:t>
      </w:r>
      <w:r w:rsidRPr="00D17D58">
        <w:rPr>
          <w:lang w:eastAsia="es-PE"/>
        </w:rPr>
        <w:t>, se identificó que la mayoría reconoce los beneficios de esta herramienta diagnóstica, aunque también se señalaron áreas que requieren optimización.</w:t>
      </w:r>
    </w:p>
    <w:p w14:paraId="06762648" w14:textId="77777777" w:rsidR="00D17D58" w:rsidRPr="00D17D58" w:rsidRDefault="00D17D58" w:rsidP="006C0D8D">
      <w:pPr>
        <w:rPr>
          <w:lang w:eastAsia="es-PE"/>
        </w:rPr>
      </w:pPr>
      <w:r w:rsidRPr="00D17D58">
        <w:rPr>
          <w:lang w:eastAsia="es-PE"/>
        </w:rPr>
        <w:t xml:space="preserve">Más del </w:t>
      </w:r>
      <w:r w:rsidRPr="00D17D58">
        <w:rPr>
          <w:b/>
          <w:bCs/>
          <w:lang w:eastAsia="es-PE"/>
        </w:rPr>
        <w:t>70% de los pacientes</w:t>
      </w:r>
      <w:r w:rsidRPr="00D17D58">
        <w:rPr>
          <w:lang w:eastAsia="es-PE"/>
        </w:rPr>
        <w:t xml:space="preserve"> percibió una mejora en la </w:t>
      </w:r>
      <w:r w:rsidRPr="00D17D58">
        <w:rPr>
          <w:b/>
          <w:bCs/>
          <w:lang w:eastAsia="es-PE"/>
        </w:rPr>
        <w:t>precisión diagnóstica</w:t>
      </w:r>
      <w:r w:rsidRPr="00D17D58">
        <w:rPr>
          <w:lang w:eastAsia="es-PE"/>
        </w:rPr>
        <w:t xml:space="preserve">, destacando la capacidad del FDG para identificar tumores difíciles de localizar y reducir la incertidumbre en el proceso diagnóstico. Asimismo, el </w:t>
      </w:r>
      <w:r w:rsidRPr="00D17D58">
        <w:rPr>
          <w:b/>
          <w:bCs/>
          <w:lang w:eastAsia="es-PE"/>
        </w:rPr>
        <w:t>75%</w:t>
      </w:r>
      <w:r w:rsidRPr="00D17D58">
        <w:rPr>
          <w:lang w:eastAsia="es-PE"/>
        </w:rPr>
        <w:t xml:space="preserve"> consideró que el radiofármaco contribuye a la </w:t>
      </w:r>
      <w:r w:rsidRPr="00D17D58">
        <w:rPr>
          <w:b/>
          <w:bCs/>
          <w:lang w:eastAsia="es-PE"/>
        </w:rPr>
        <w:t>detección temprana de tumores</w:t>
      </w:r>
      <w:r w:rsidRPr="00D17D58">
        <w:rPr>
          <w:lang w:eastAsia="es-PE"/>
        </w:rPr>
        <w:t xml:space="preserve">, lo que mejora el pronóstico y aumenta las posibilidades de éxito terapéutico. En cuanto al </w:t>
      </w:r>
      <w:r w:rsidRPr="00D17D58">
        <w:rPr>
          <w:b/>
          <w:bCs/>
          <w:lang w:eastAsia="es-PE"/>
        </w:rPr>
        <w:t>pronóstico</w:t>
      </w:r>
      <w:r w:rsidRPr="00D17D58">
        <w:rPr>
          <w:lang w:eastAsia="es-PE"/>
        </w:rPr>
        <w:t xml:space="preserve">, el </w:t>
      </w:r>
      <w:r w:rsidRPr="00D17D58">
        <w:rPr>
          <w:b/>
          <w:bCs/>
          <w:lang w:eastAsia="es-PE"/>
        </w:rPr>
        <w:t>78%</w:t>
      </w:r>
      <w:r w:rsidRPr="00D17D58">
        <w:rPr>
          <w:lang w:eastAsia="es-PE"/>
        </w:rPr>
        <w:t xml:space="preserve"> señaló que el FDG ayuda a mejorar las perspectivas de tratamiento, aunque un </w:t>
      </w:r>
      <w:r w:rsidRPr="00D17D58">
        <w:rPr>
          <w:b/>
          <w:bCs/>
          <w:lang w:eastAsia="es-PE"/>
        </w:rPr>
        <w:t>21,9%</w:t>
      </w:r>
      <w:r w:rsidRPr="00D17D58">
        <w:rPr>
          <w:lang w:eastAsia="es-PE"/>
        </w:rPr>
        <w:t xml:space="preserve"> no percibió beneficios significativos, lo que refleja la variabilidad según tipo y estadio del cáncer.</w:t>
      </w:r>
    </w:p>
    <w:p w14:paraId="7DA73D64" w14:textId="77777777" w:rsidR="00D17D58" w:rsidRPr="00D17D58" w:rsidRDefault="00D17D58" w:rsidP="006C0D8D">
      <w:pPr>
        <w:rPr>
          <w:lang w:eastAsia="es-PE"/>
        </w:rPr>
      </w:pPr>
      <w:r w:rsidRPr="00D17D58">
        <w:rPr>
          <w:lang w:eastAsia="es-PE"/>
        </w:rPr>
        <w:t xml:space="preserve">Un hallazgo relevante fue la </w:t>
      </w:r>
      <w:r w:rsidRPr="00D17D58">
        <w:rPr>
          <w:b/>
          <w:bCs/>
          <w:lang w:eastAsia="es-PE"/>
        </w:rPr>
        <w:t>reducción de procedimientos invasivos</w:t>
      </w:r>
      <w:r w:rsidRPr="00D17D58">
        <w:rPr>
          <w:lang w:eastAsia="es-PE"/>
        </w:rPr>
        <w:t xml:space="preserve">, reconocida por el </w:t>
      </w:r>
      <w:r w:rsidRPr="00D17D58">
        <w:rPr>
          <w:b/>
          <w:bCs/>
          <w:lang w:eastAsia="es-PE"/>
        </w:rPr>
        <w:t>68% de los pacientes</w:t>
      </w:r>
      <w:r w:rsidRPr="00D17D58">
        <w:rPr>
          <w:lang w:eastAsia="es-PE"/>
        </w:rPr>
        <w:t xml:space="preserve">, lo que disminuye riesgos, costos y tiempos de recuperación. En relación con la </w:t>
      </w:r>
      <w:r w:rsidRPr="00D17D58">
        <w:rPr>
          <w:b/>
          <w:bCs/>
          <w:lang w:eastAsia="es-PE"/>
        </w:rPr>
        <w:t>seguridad</w:t>
      </w:r>
      <w:r w:rsidRPr="00D17D58">
        <w:rPr>
          <w:lang w:eastAsia="es-PE"/>
        </w:rPr>
        <w:t xml:space="preserve">, el </w:t>
      </w:r>
      <w:r w:rsidRPr="00D17D58">
        <w:rPr>
          <w:b/>
          <w:bCs/>
          <w:lang w:eastAsia="es-PE"/>
        </w:rPr>
        <w:t>85%</w:t>
      </w:r>
      <w:r w:rsidRPr="00D17D58">
        <w:rPr>
          <w:lang w:eastAsia="es-PE"/>
        </w:rPr>
        <w:t xml:space="preserve"> reportó ausencia de efectos adversos graves, confirmando </w:t>
      </w:r>
      <w:r w:rsidRPr="00D17D58">
        <w:rPr>
          <w:lang w:eastAsia="es-PE"/>
        </w:rPr>
        <w:lastRenderedPageBreak/>
        <w:t>la baja toxicidad del radiofármaco, aunque algunos mencionaron reacciones leves como náuseas o molestias en el sitio de inyección.</w:t>
      </w:r>
    </w:p>
    <w:p w14:paraId="13EB3019" w14:textId="77777777" w:rsidR="00D17D58" w:rsidRPr="00D17D58" w:rsidRDefault="00D17D58" w:rsidP="006C0D8D">
      <w:pPr>
        <w:rPr>
          <w:lang w:eastAsia="es-PE"/>
        </w:rPr>
      </w:pPr>
      <w:r w:rsidRPr="00D17D58">
        <w:rPr>
          <w:lang w:eastAsia="es-PE"/>
        </w:rPr>
        <w:t xml:space="preserve">Respecto a la </w:t>
      </w:r>
      <w:r w:rsidRPr="00D17D58">
        <w:rPr>
          <w:b/>
          <w:bCs/>
          <w:lang w:eastAsia="es-PE"/>
        </w:rPr>
        <w:t>calidad de vida</w:t>
      </w:r>
      <w:r w:rsidRPr="00D17D58">
        <w:rPr>
          <w:lang w:eastAsia="es-PE"/>
        </w:rPr>
        <w:t xml:space="preserve">, el </w:t>
      </w:r>
      <w:r w:rsidRPr="00D17D58">
        <w:rPr>
          <w:b/>
          <w:bCs/>
          <w:lang w:eastAsia="es-PE"/>
        </w:rPr>
        <w:t>80%</w:t>
      </w:r>
      <w:r w:rsidRPr="00D17D58">
        <w:rPr>
          <w:lang w:eastAsia="es-PE"/>
        </w:rPr>
        <w:t xml:space="preserve"> manifestó mejoras gracias a la detección temprana y la reducción de procedimientos invasivos, lo que disminuye la ansiedad y favorece tratamientos más adecuados. Finalmente, el </w:t>
      </w:r>
      <w:r w:rsidRPr="00D17D58">
        <w:rPr>
          <w:b/>
          <w:bCs/>
          <w:lang w:eastAsia="es-PE"/>
        </w:rPr>
        <w:t>76%</w:t>
      </w:r>
      <w:r w:rsidRPr="00D17D58">
        <w:rPr>
          <w:lang w:eastAsia="es-PE"/>
        </w:rPr>
        <w:t xml:space="preserve"> de los pacientes reconoció que el FDG aumenta la </w:t>
      </w:r>
      <w:r w:rsidRPr="00D17D58">
        <w:rPr>
          <w:b/>
          <w:bCs/>
          <w:lang w:eastAsia="es-PE"/>
        </w:rPr>
        <w:t>eficiencia diagnóstica</w:t>
      </w:r>
      <w:r w:rsidRPr="00D17D58">
        <w:rPr>
          <w:lang w:eastAsia="es-PE"/>
        </w:rPr>
        <w:t xml:space="preserve"> frente a otras técnicas, destacando su rapidez y precisión en la toma de decisiones clínicas.</w:t>
      </w:r>
    </w:p>
    <w:bookmarkEnd w:id="1"/>
    <w:bookmarkEnd w:id="2"/>
    <w:p w14:paraId="750B37CC" w14:textId="74E9B5CA" w:rsidR="00B12790" w:rsidRDefault="007F59AF" w:rsidP="00DB6CD8">
      <w:pPr>
        <w:ind w:firstLine="0"/>
        <w:rPr>
          <w:rFonts w:cs="Times New Roman"/>
          <w:b/>
          <w:bCs/>
          <w:szCs w:val="24"/>
        </w:rPr>
      </w:pPr>
      <w:r w:rsidRPr="00D05FAA">
        <w:rPr>
          <w:rFonts w:cs="Times New Roman"/>
          <w:b/>
          <w:bCs/>
          <w:szCs w:val="24"/>
        </w:rPr>
        <w:t>CONCLUSIONES</w:t>
      </w:r>
    </w:p>
    <w:p w14:paraId="6652D1DD" w14:textId="5A948BB5" w:rsidR="006C0D8D" w:rsidRPr="006C0D8D" w:rsidRDefault="006C0D8D" w:rsidP="006C0D8D">
      <w:pPr>
        <w:ind w:left="426" w:hanging="426"/>
        <w:rPr>
          <w:rFonts w:eastAsia="Times New Roman" w:cs="Times New Roman"/>
          <w:color w:val="000000"/>
          <w:szCs w:val="24"/>
          <w:lang w:eastAsia="es-PE"/>
        </w:rPr>
      </w:pPr>
      <w:r w:rsidRPr="006C0D8D">
        <w:rPr>
          <w:rFonts w:eastAsia="Times New Roman" w:cs="Times New Roman"/>
          <w:b/>
          <w:color w:val="000000"/>
          <w:szCs w:val="24"/>
          <w:lang w:eastAsia="es-PE"/>
        </w:rPr>
        <w:t>1.</w:t>
      </w:r>
      <w:r w:rsidRPr="006C0D8D">
        <w:rPr>
          <w:rFonts w:eastAsia="Times New Roman" w:cs="Times New Roman"/>
          <w:color w:val="000000"/>
          <w:szCs w:val="24"/>
          <w:lang w:eastAsia="es-PE"/>
        </w:rPr>
        <w:t xml:space="preserve"> El uso del radiofármaco [</w:t>
      </w:r>
      <w:r w:rsidRPr="006C0D8D">
        <w:rPr>
          <w:rFonts w:eastAsia="Times New Roman" w:cs="Times New Roman"/>
          <w:color w:val="000000"/>
          <w:szCs w:val="24"/>
          <w:vertAlign w:val="superscript"/>
          <w:lang w:eastAsia="es-PE"/>
        </w:rPr>
        <w:t>18</w:t>
      </w:r>
      <w:r w:rsidRPr="006C0D8D">
        <w:rPr>
          <w:rFonts w:eastAsia="Times New Roman" w:cs="Times New Roman"/>
          <w:color w:val="000000"/>
          <w:szCs w:val="24"/>
          <w:lang w:eastAsia="es-PE"/>
        </w:rPr>
        <w:t xml:space="preserve">F] </w:t>
      </w:r>
      <w:proofErr w:type="spellStart"/>
      <w:r w:rsidRPr="006C0D8D">
        <w:rPr>
          <w:rFonts w:eastAsia="Times New Roman" w:cs="Times New Roman"/>
          <w:color w:val="000000"/>
          <w:szCs w:val="24"/>
          <w:lang w:eastAsia="es-PE"/>
        </w:rPr>
        <w:t>fludesoxiglucosa</w:t>
      </w:r>
      <w:proofErr w:type="spellEnd"/>
      <w:r w:rsidRPr="006C0D8D">
        <w:rPr>
          <w:rFonts w:eastAsia="Times New Roman" w:cs="Times New Roman"/>
          <w:color w:val="000000"/>
          <w:szCs w:val="24"/>
          <w:lang w:eastAsia="es-PE"/>
        </w:rPr>
        <w:t xml:space="preserve"> ha demostrado un impacto significativo en la mejora de la precisión diagnóstica en los pacientes oncológicos del Hospital Guillermo Almenara Irigoyen. Esto resalta su papel fundamental en la mejora del diagnóstico precoz. </w:t>
      </w:r>
    </w:p>
    <w:p w14:paraId="1249FFE0" w14:textId="68437558" w:rsidR="006C0D8D" w:rsidRPr="006C0D8D" w:rsidRDefault="006C0D8D" w:rsidP="006C0D8D">
      <w:pPr>
        <w:ind w:left="426" w:hanging="426"/>
        <w:rPr>
          <w:rFonts w:eastAsia="Times New Roman" w:cs="Times New Roman"/>
          <w:color w:val="000000"/>
          <w:szCs w:val="24"/>
          <w:lang w:eastAsia="es-PE"/>
        </w:rPr>
      </w:pPr>
      <w:r w:rsidRPr="006C0D8D">
        <w:rPr>
          <w:rFonts w:eastAsia="Times New Roman" w:cs="Times New Roman"/>
          <w:b/>
          <w:color w:val="000000"/>
          <w:szCs w:val="24"/>
          <w:lang w:eastAsia="es-PE"/>
        </w:rPr>
        <w:t>2.</w:t>
      </w:r>
      <w:r w:rsidRPr="006C0D8D">
        <w:rPr>
          <w:rFonts w:eastAsia="Times New Roman" w:cs="Times New Roman"/>
          <w:color w:val="000000"/>
          <w:szCs w:val="24"/>
          <w:lang w:eastAsia="es-PE"/>
        </w:rPr>
        <w:t xml:space="preserve"> El [</w:t>
      </w:r>
      <w:r w:rsidRPr="006C0D8D">
        <w:rPr>
          <w:rFonts w:eastAsia="Times New Roman" w:cs="Times New Roman"/>
          <w:color w:val="000000"/>
          <w:szCs w:val="24"/>
          <w:vertAlign w:val="superscript"/>
          <w:lang w:eastAsia="es-PE"/>
        </w:rPr>
        <w:t>18</w:t>
      </w:r>
      <w:r w:rsidRPr="006C0D8D">
        <w:rPr>
          <w:rFonts w:eastAsia="Times New Roman" w:cs="Times New Roman"/>
          <w:color w:val="000000"/>
          <w:szCs w:val="24"/>
          <w:lang w:eastAsia="es-PE"/>
        </w:rPr>
        <w:t xml:space="preserve">F] </w:t>
      </w:r>
      <w:proofErr w:type="spellStart"/>
      <w:r w:rsidRPr="006C0D8D">
        <w:rPr>
          <w:rFonts w:eastAsia="Times New Roman" w:cs="Times New Roman"/>
          <w:color w:val="000000"/>
          <w:szCs w:val="24"/>
          <w:lang w:eastAsia="es-PE"/>
        </w:rPr>
        <w:t>fludesoxiglucosa</w:t>
      </w:r>
      <w:proofErr w:type="spellEnd"/>
      <w:r w:rsidRPr="006C0D8D">
        <w:rPr>
          <w:rFonts w:eastAsia="Times New Roman" w:cs="Times New Roman"/>
          <w:color w:val="000000"/>
          <w:szCs w:val="24"/>
          <w:lang w:eastAsia="es-PE"/>
        </w:rPr>
        <w:t xml:space="preserve"> destaca por su capacidad de detectar tumores en etapas tempranas, lo que mejora el pronóstico al permitir tratamientos más eficaces y menos invasivos, beneficiando significativamente la atención de los pacientes.</w:t>
      </w:r>
    </w:p>
    <w:p w14:paraId="3BEA0021" w14:textId="46ED11C2" w:rsidR="006C0D8D" w:rsidRPr="006C0D8D" w:rsidRDefault="006C0D8D" w:rsidP="006C0D8D">
      <w:pPr>
        <w:ind w:left="426" w:hanging="426"/>
        <w:rPr>
          <w:rFonts w:eastAsia="Times New Roman" w:cs="Times New Roman"/>
          <w:color w:val="000000"/>
          <w:szCs w:val="24"/>
          <w:lang w:eastAsia="es-PE"/>
        </w:rPr>
      </w:pPr>
      <w:r w:rsidRPr="006C0D8D">
        <w:rPr>
          <w:rFonts w:eastAsia="Times New Roman" w:cs="Times New Roman"/>
          <w:b/>
          <w:color w:val="000000"/>
          <w:szCs w:val="24"/>
          <w:lang w:eastAsia="es-PE"/>
        </w:rPr>
        <w:t>3.</w:t>
      </w:r>
      <w:r w:rsidRPr="006C0D8D">
        <w:rPr>
          <w:rFonts w:eastAsia="Times New Roman" w:cs="Times New Roman"/>
          <w:color w:val="000000"/>
          <w:szCs w:val="24"/>
          <w:lang w:eastAsia="es-PE"/>
        </w:rPr>
        <w:t xml:space="preserve"> El [</w:t>
      </w:r>
      <w:r w:rsidRPr="006C0D8D">
        <w:rPr>
          <w:rFonts w:eastAsia="Times New Roman" w:cs="Times New Roman"/>
          <w:color w:val="000000"/>
          <w:szCs w:val="24"/>
          <w:vertAlign w:val="superscript"/>
          <w:lang w:eastAsia="es-PE"/>
        </w:rPr>
        <w:t>18</w:t>
      </w:r>
      <w:r w:rsidRPr="006C0D8D">
        <w:rPr>
          <w:rFonts w:eastAsia="Times New Roman" w:cs="Times New Roman"/>
          <w:color w:val="000000"/>
          <w:szCs w:val="24"/>
          <w:lang w:eastAsia="es-PE"/>
        </w:rPr>
        <w:t xml:space="preserve">F] </w:t>
      </w:r>
      <w:proofErr w:type="spellStart"/>
      <w:r w:rsidRPr="006C0D8D">
        <w:rPr>
          <w:rFonts w:eastAsia="Times New Roman" w:cs="Times New Roman"/>
          <w:color w:val="000000"/>
          <w:szCs w:val="24"/>
          <w:lang w:eastAsia="es-PE"/>
        </w:rPr>
        <w:t>fludesoxiglucosa</w:t>
      </w:r>
      <w:proofErr w:type="spellEnd"/>
      <w:r w:rsidRPr="006C0D8D">
        <w:rPr>
          <w:rFonts w:eastAsia="Times New Roman" w:cs="Times New Roman"/>
          <w:color w:val="000000"/>
          <w:szCs w:val="24"/>
          <w:lang w:eastAsia="es-PE"/>
        </w:rPr>
        <w:t xml:space="preserve"> mejora el pronóstico oncológico al facilitar la detección de tumores difíciles de localizar, favoreciendo decisiones terapéuticas más informadas y eficaces según la percepción de los pacientes.</w:t>
      </w:r>
    </w:p>
    <w:p w14:paraId="1B13BDF8" w14:textId="1783C4AB" w:rsidR="006C0D8D" w:rsidRPr="006C0D8D" w:rsidRDefault="006C0D8D" w:rsidP="006C0D8D">
      <w:pPr>
        <w:ind w:left="426" w:hanging="426"/>
        <w:rPr>
          <w:rFonts w:eastAsia="Times New Roman" w:cs="Times New Roman"/>
          <w:color w:val="000000"/>
          <w:szCs w:val="24"/>
          <w:lang w:eastAsia="es-PE"/>
        </w:rPr>
      </w:pPr>
      <w:r w:rsidRPr="006C0D8D">
        <w:rPr>
          <w:rFonts w:eastAsia="Times New Roman" w:cs="Times New Roman"/>
          <w:b/>
          <w:color w:val="000000"/>
          <w:szCs w:val="24"/>
          <w:lang w:eastAsia="es-PE"/>
        </w:rPr>
        <w:t>4.</w:t>
      </w:r>
      <w:r w:rsidRPr="006C0D8D">
        <w:rPr>
          <w:rFonts w:eastAsia="Times New Roman" w:cs="Times New Roman"/>
          <w:color w:val="000000"/>
          <w:szCs w:val="24"/>
          <w:lang w:eastAsia="es-PE"/>
        </w:rPr>
        <w:t xml:space="preserve"> El uso de [</w:t>
      </w:r>
      <w:r w:rsidRPr="006C0D8D">
        <w:rPr>
          <w:rFonts w:eastAsia="Times New Roman" w:cs="Times New Roman"/>
          <w:color w:val="000000"/>
          <w:szCs w:val="24"/>
          <w:vertAlign w:val="superscript"/>
          <w:lang w:eastAsia="es-PE"/>
        </w:rPr>
        <w:t>18</w:t>
      </w:r>
      <w:r w:rsidRPr="006C0D8D">
        <w:rPr>
          <w:rFonts w:eastAsia="Times New Roman" w:cs="Times New Roman"/>
          <w:color w:val="000000"/>
          <w:szCs w:val="24"/>
          <w:lang w:eastAsia="es-PE"/>
        </w:rPr>
        <w:t xml:space="preserve">F] </w:t>
      </w:r>
      <w:proofErr w:type="spellStart"/>
      <w:r w:rsidRPr="006C0D8D">
        <w:rPr>
          <w:rFonts w:eastAsia="Times New Roman" w:cs="Times New Roman"/>
          <w:color w:val="000000"/>
          <w:szCs w:val="24"/>
          <w:lang w:eastAsia="es-PE"/>
        </w:rPr>
        <w:t>fludesoxiglucosa</w:t>
      </w:r>
      <w:proofErr w:type="spellEnd"/>
      <w:r w:rsidRPr="006C0D8D">
        <w:rPr>
          <w:rFonts w:eastAsia="Times New Roman" w:cs="Times New Roman"/>
          <w:color w:val="000000"/>
          <w:szCs w:val="24"/>
          <w:lang w:eastAsia="es-PE"/>
        </w:rPr>
        <w:t xml:space="preserve"> ha disminuido la necesidad de procedimientos invasivos en más del 68% de los pacientes, al permitir una localización más precisa de los tumores y decisiones clínicas mejor fundamentadas.</w:t>
      </w:r>
    </w:p>
    <w:p w14:paraId="5F6B8D9C" w14:textId="25482AB3" w:rsidR="006C0D8D" w:rsidRPr="006C0D8D" w:rsidRDefault="006C0D8D" w:rsidP="006C0D8D">
      <w:pPr>
        <w:ind w:left="426" w:hanging="426"/>
        <w:rPr>
          <w:rFonts w:eastAsia="Times New Roman" w:cs="Times New Roman"/>
          <w:color w:val="000000"/>
          <w:szCs w:val="24"/>
          <w:lang w:eastAsia="es-PE"/>
        </w:rPr>
      </w:pPr>
      <w:r w:rsidRPr="006C0D8D">
        <w:rPr>
          <w:rFonts w:eastAsia="Times New Roman" w:cs="Times New Roman"/>
          <w:b/>
          <w:color w:val="000000"/>
          <w:szCs w:val="24"/>
          <w:lang w:eastAsia="es-PE"/>
        </w:rPr>
        <w:t>5.</w:t>
      </w:r>
      <w:r w:rsidRPr="006C0D8D">
        <w:rPr>
          <w:rFonts w:eastAsia="Times New Roman" w:cs="Times New Roman"/>
          <w:color w:val="000000"/>
          <w:szCs w:val="24"/>
          <w:lang w:eastAsia="es-PE"/>
        </w:rPr>
        <w:t xml:space="preserve">  El [18F] </w:t>
      </w:r>
      <w:proofErr w:type="spellStart"/>
      <w:r w:rsidRPr="006C0D8D">
        <w:rPr>
          <w:rFonts w:eastAsia="Times New Roman" w:cs="Times New Roman"/>
          <w:color w:val="000000"/>
          <w:szCs w:val="24"/>
          <w:lang w:eastAsia="es-PE"/>
        </w:rPr>
        <w:t>fludesoxiglucosa</w:t>
      </w:r>
      <w:proofErr w:type="spellEnd"/>
      <w:r w:rsidRPr="006C0D8D">
        <w:rPr>
          <w:rFonts w:eastAsia="Times New Roman" w:cs="Times New Roman"/>
          <w:color w:val="000000"/>
          <w:szCs w:val="24"/>
          <w:lang w:eastAsia="es-PE"/>
        </w:rPr>
        <w:t xml:space="preserve"> presenta un perfil de alta seguridad, ya que el 85% de los pacientes no reportó efectos adversos significativos, mientras que solo un pequeño porcentaje experimentó molestias leves, confirmando su baja toxicidad y ventaja frente a otras técnicas más invasivas o con mayores riesgos.</w:t>
      </w:r>
    </w:p>
    <w:p w14:paraId="3C24948E" w14:textId="3D82DB10" w:rsidR="006C0D8D" w:rsidRPr="006C0D8D" w:rsidRDefault="006C0D8D" w:rsidP="006C0D8D">
      <w:pPr>
        <w:ind w:left="426" w:hanging="426"/>
        <w:rPr>
          <w:rFonts w:eastAsia="Times New Roman" w:cs="Times New Roman"/>
          <w:color w:val="000000"/>
          <w:szCs w:val="24"/>
          <w:lang w:eastAsia="es-PE"/>
        </w:rPr>
      </w:pPr>
      <w:r w:rsidRPr="006C0D8D">
        <w:rPr>
          <w:rFonts w:eastAsia="Times New Roman" w:cs="Times New Roman"/>
          <w:b/>
          <w:color w:val="000000"/>
          <w:szCs w:val="24"/>
          <w:lang w:eastAsia="es-PE"/>
        </w:rPr>
        <w:lastRenderedPageBreak/>
        <w:t>6.</w:t>
      </w:r>
      <w:r w:rsidRPr="006C0D8D">
        <w:rPr>
          <w:rFonts w:eastAsia="Times New Roman" w:cs="Times New Roman"/>
          <w:color w:val="000000"/>
          <w:szCs w:val="24"/>
          <w:lang w:eastAsia="es-PE"/>
        </w:rPr>
        <w:t xml:space="preserve">  El [18F] </w:t>
      </w:r>
      <w:proofErr w:type="spellStart"/>
      <w:r w:rsidRPr="006C0D8D">
        <w:rPr>
          <w:rFonts w:eastAsia="Times New Roman" w:cs="Times New Roman"/>
          <w:color w:val="000000"/>
          <w:szCs w:val="24"/>
          <w:lang w:eastAsia="es-PE"/>
        </w:rPr>
        <w:t>fludesoxiglucosa</w:t>
      </w:r>
      <w:proofErr w:type="spellEnd"/>
      <w:r w:rsidRPr="006C0D8D">
        <w:rPr>
          <w:rFonts w:eastAsia="Times New Roman" w:cs="Times New Roman"/>
          <w:color w:val="000000"/>
          <w:szCs w:val="24"/>
          <w:lang w:eastAsia="es-PE"/>
        </w:rPr>
        <w:t xml:space="preserve"> mejora la calidad de vida de los pacientes oncológicos, ya que más del 80% reportó menos ansiedad, mejor pronóstico y acceso a tratamientos más personalizados y menos invasivos gracias a la detección temprana de tumores.</w:t>
      </w:r>
    </w:p>
    <w:p w14:paraId="7A9DABC8" w14:textId="77777777" w:rsidR="006C0D8D" w:rsidRDefault="006C0D8D" w:rsidP="00D05FAA">
      <w:pPr>
        <w:widowControl w:val="0"/>
        <w:autoSpaceDE w:val="0"/>
        <w:autoSpaceDN w:val="0"/>
        <w:ind w:left="567" w:hanging="567"/>
        <w:rPr>
          <w:rFonts w:cs="Times New Roman"/>
          <w:b/>
          <w:bCs/>
          <w:szCs w:val="24"/>
        </w:rPr>
      </w:pPr>
    </w:p>
    <w:p w14:paraId="2D47640B" w14:textId="2A1B41C5" w:rsidR="00B15060" w:rsidRDefault="00B15060" w:rsidP="00D05FAA">
      <w:pPr>
        <w:widowControl w:val="0"/>
        <w:autoSpaceDE w:val="0"/>
        <w:autoSpaceDN w:val="0"/>
        <w:ind w:left="567" w:hanging="567"/>
        <w:rPr>
          <w:rFonts w:cs="Times New Roman"/>
          <w:b/>
          <w:bCs/>
          <w:szCs w:val="24"/>
        </w:rPr>
      </w:pPr>
      <w:r w:rsidRPr="00D05FAA">
        <w:rPr>
          <w:rFonts w:cs="Times New Roman"/>
          <w:b/>
          <w:bCs/>
          <w:szCs w:val="24"/>
        </w:rPr>
        <w:t>REFERENCIAS</w:t>
      </w:r>
    </w:p>
    <w:p w14:paraId="3704DF59" w14:textId="77777777" w:rsidR="00C32A1E" w:rsidRPr="00C32A1E" w:rsidRDefault="00C32A1E" w:rsidP="00C32A1E">
      <w:pPr>
        <w:spacing w:after="115"/>
        <w:ind w:left="993" w:hanging="993"/>
        <w:rPr>
          <w:rFonts w:eastAsia="Times New Roman" w:cs="Times New Roman"/>
          <w:color w:val="000000"/>
          <w:szCs w:val="24"/>
          <w:lang w:val="en-US" w:eastAsia="es-MX"/>
        </w:rPr>
      </w:pPr>
      <w:proofErr w:type="spellStart"/>
      <w:r w:rsidRPr="00C32A1E">
        <w:rPr>
          <w:rFonts w:eastAsia="Times New Roman" w:cs="Times New Roman"/>
          <w:color w:val="000000"/>
          <w:szCs w:val="24"/>
          <w:lang w:val="en-US" w:eastAsia="es-MX"/>
        </w:rPr>
        <w:t>Boellaard</w:t>
      </w:r>
      <w:proofErr w:type="spellEnd"/>
      <w:r w:rsidRPr="00C32A1E">
        <w:rPr>
          <w:rFonts w:eastAsia="Times New Roman" w:cs="Times New Roman"/>
          <w:color w:val="000000"/>
          <w:szCs w:val="24"/>
          <w:lang w:val="en-US" w:eastAsia="es-MX"/>
        </w:rPr>
        <w:t xml:space="preserve">, R., Delgado-Bolton, R., Oyen, W. J., </w:t>
      </w:r>
      <w:proofErr w:type="spellStart"/>
      <w:r w:rsidRPr="00C32A1E">
        <w:rPr>
          <w:rFonts w:eastAsia="Times New Roman" w:cs="Times New Roman"/>
          <w:color w:val="000000"/>
          <w:szCs w:val="24"/>
          <w:lang w:val="en-US" w:eastAsia="es-MX"/>
        </w:rPr>
        <w:t>Giammarile</w:t>
      </w:r>
      <w:proofErr w:type="spellEnd"/>
      <w:r w:rsidRPr="00C32A1E">
        <w:rPr>
          <w:rFonts w:eastAsia="Times New Roman" w:cs="Times New Roman"/>
          <w:color w:val="000000"/>
          <w:szCs w:val="24"/>
          <w:lang w:val="en-US" w:eastAsia="es-MX"/>
        </w:rPr>
        <w:t xml:space="preserve">, F., Tatsch, K., </w:t>
      </w:r>
      <w:proofErr w:type="spellStart"/>
      <w:r w:rsidRPr="00C32A1E">
        <w:rPr>
          <w:rFonts w:eastAsia="Times New Roman" w:cs="Times New Roman"/>
          <w:color w:val="000000"/>
          <w:szCs w:val="24"/>
          <w:lang w:val="en-US" w:eastAsia="es-MX"/>
        </w:rPr>
        <w:t>Eschner</w:t>
      </w:r>
      <w:proofErr w:type="spellEnd"/>
      <w:r w:rsidRPr="00C32A1E">
        <w:rPr>
          <w:rFonts w:eastAsia="Times New Roman" w:cs="Times New Roman"/>
          <w:color w:val="000000"/>
          <w:szCs w:val="24"/>
          <w:lang w:val="en-US" w:eastAsia="es-MX"/>
        </w:rPr>
        <w:t xml:space="preserve">, W., &amp; Marsden, P. K. (2015). FDG PET/CT: EANM procedure guidelines for </w:t>
      </w:r>
      <w:proofErr w:type="spellStart"/>
      <w:r w:rsidRPr="00C32A1E">
        <w:rPr>
          <w:rFonts w:eastAsia="Times New Roman" w:cs="Times New Roman"/>
          <w:color w:val="000000"/>
          <w:szCs w:val="24"/>
          <w:lang w:val="en-US" w:eastAsia="es-MX"/>
        </w:rPr>
        <w:t>tumour</w:t>
      </w:r>
      <w:proofErr w:type="spellEnd"/>
      <w:r w:rsidRPr="00C32A1E">
        <w:rPr>
          <w:rFonts w:eastAsia="Times New Roman" w:cs="Times New Roman"/>
          <w:color w:val="000000"/>
          <w:szCs w:val="24"/>
          <w:lang w:val="en-US" w:eastAsia="es-MX"/>
        </w:rPr>
        <w:t xml:space="preserve"> imaging: Version 2.0. </w:t>
      </w:r>
      <w:r w:rsidRPr="00C32A1E">
        <w:rPr>
          <w:rFonts w:eastAsia="Times New Roman" w:cs="Times New Roman"/>
          <w:i/>
          <w:iCs/>
          <w:color w:val="000000"/>
          <w:szCs w:val="24"/>
          <w:lang w:val="en-US" w:eastAsia="es-MX"/>
        </w:rPr>
        <w:t>European Journal of Nuclear Medicine and Molecular Imaging, 42</w:t>
      </w:r>
      <w:r w:rsidRPr="00C32A1E">
        <w:rPr>
          <w:rFonts w:eastAsia="Times New Roman" w:cs="Times New Roman"/>
          <w:color w:val="000000"/>
          <w:szCs w:val="24"/>
          <w:lang w:val="en-US" w:eastAsia="es-MX"/>
        </w:rPr>
        <w:t xml:space="preserve">(2), 328-354. </w:t>
      </w:r>
      <w:hyperlink r:id="rId8" w:history="1">
        <w:r w:rsidRPr="00C32A1E">
          <w:rPr>
            <w:rFonts w:eastAsia="Times New Roman" w:cs="Times New Roman"/>
            <w:color w:val="0070C0"/>
            <w:szCs w:val="24"/>
            <w:u w:val="single"/>
            <w:lang w:val="en-US" w:eastAsia="es-MX"/>
          </w:rPr>
          <w:t>https://doi.org/10.1007/s00259-014-2961-x</w:t>
        </w:r>
      </w:hyperlink>
    </w:p>
    <w:p w14:paraId="50F92229" w14:textId="77777777" w:rsidR="00C32A1E" w:rsidRPr="00C32A1E" w:rsidRDefault="00C32A1E" w:rsidP="00C32A1E">
      <w:pPr>
        <w:spacing w:after="115"/>
        <w:ind w:left="993" w:hanging="993"/>
        <w:rPr>
          <w:rFonts w:eastAsia="Times New Roman" w:cs="Times New Roman"/>
          <w:color w:val="000000"/>
          <w:szCs w:val="24"/>
          <w:lang w:val="en-US" w:eastAsia="es-MX"/>
        </w:rPr>
      </w:pPr>
      <w:proofErr w:type="spellStart"/>
      <w:r w:rsidRPr="00C32A1E">
        <w:rPr>
          <w:rFonts w:eastAsia="Times New Roman" w:cs="Times New Roman"/>
          <w:color w:val="000000"/>
          <w:szCs w:val="24"/>
          <w:lang w:val="en-US" w:eastAsia="es-MX"/>
        </w:rPr>
        <w:t>Boellaard</w:t>
      </w:r>
      <w:proofErr w:type="spellEnd"/>
      <w:r w:rsidRPr="00C32A1E">
        <w:rPr>
          <w:rFonts w:eastAsia="Times New Roman" w:cs="Times New Roman"/>
          <w:color w:val="000000"/>
          <w:szCs w:val="24"/>
          <w:lang w:val="en-US" w:eastAsia="es-MX"/>
        </w:rPr>
        <w:t xml:space="preserve">, R., Oyen, W. J., Hoekstra, C. J., Hoekstra, O. S., Visser, E. P., &amp; Willemsen, A. T. (2015). </w:t>
      </w:r>
      <w:r w:rsidRPr="00C32A1E">
        <w:rPr>
          <w:rFonts w:eastAsia="Times New Roman" w:cs="Times New Roman"/>
          <w:b/>
          <w:bCs/>
          <w:color w:val="000000"/>
          <w:szCs w:val="24"/>
          <w:lang w:val="en-US" w:eastAsia="es-MX"/>
        </w:rPr>
        <w:t xml:space="preserve">FDG PET and PET/CT: EANM procedure guidelines for </w:t>
      </w:r>
      <w:proofErr w:type="spellStart"/>
      <w:r w:rsidRPr="00C32A1E">
        <w:rPr>
          <w:rFonts w:eastAsia="Times New Roman" w:cs="Times New Roman"/>
          <w:b/>
          <w:bCs/>
          <w:color w:val="000000"/>
          <w:szCs w:val="24"/>
          <w:lang w:val="en-US" w:eastAsia="es-MX"/>
        </w:rPr>
        <w:t>tumour</w:t>
      </w:r>
      <w:proofErr w:type="spellEnd"/>
      <w:r w:rsidRPr="00C32A1E">
        <w:rPr>
          <w:rFonts w:eastAsia="Times New Roman" w:cs="Times New Roman"/>
          <w:b/>
          <w:bCs/>
          <w:color w:val="000000"/>
          <w:szCs w:val="24"/>
          <w:lang w:val="en-US" w:eastAsia="es-MX"/>
        </w:rPr>
        <w:t xml:space="preserve"> PET imaging: version 2.0</w:t>
      </w:r>
      <w:r w:rsidRPr="00C32A1E">
        <w:rPr>
          <w:rFonts w:eastAsia="Times New Roman" w:cs="Times New Roman"/>
          <w:color w:val="000000"/>
          <w:szCs w:val="24"/>
          <w:lang w:val="en-US" w:eastAsia="es-MX"/>
        </w:rPr>
        <w:t xml:space="preserve">. </w:t>
      </w:r>
      <w:r w:rsidRPr="00C32A1E">
        <w:rPr>
          <w:rFonts w:eastAsia="Times New Roman" w:cs="Times New Roman"/>
          <w:i/>
          <w:iCs/>
          <w:color w:val="000000"/>
          <w:szCs w:val="24"/>
          <w:lang w:val="en-US" w:eastAsia="es-MX"/>
        </w:rPr>
        <w:t>European Journal of Nuclear Medicine and Molecular Imaging, 42</w:t>
      </w:r>
      <w:r w:rsidRPr="00C32A1E">
        <w:rPr>
          <w:rFonts w:eastAsia="Times New Roman" w:cs="Times New Roman"/>
          <w:color w:val="000000"/>
          <w:szCs w:val="24"/>
          <w:lang w:val="en-US" w:eastAsia="es-MX"/>
        </w:rPr>
        <w:t>(2), 328-354.</w:t>
      </w:r>
      <w:r w:rsidRPr="00C32A1E">
        <w:rPr>
          <w:rFonts w:eastAsia="Times New Roman" w:cs="Times New Roman"/>
          <w:color w:val="0070C0"/>
          <w:szCs w:val="24"/>
          <w:lang w:val="en-US" w:eastAsia="es-MX"/>
        </w:rPr>
        <w:t xml:space="preserve"> </w:t>
      </w:r>
      <w:hyperlink r:id="rId9" w:history="1">
        <w:r w:rsidRPr="00C32A1E">
          <w:rPr>
            <w:rFonts w:eastAsia="Times New Roman" w:cs="Times New Roman"/>
            <w:color w:val="0070C0"/>
            <w:szCs w:val="24"/>
            <w:u w:val="single"/>
            <w:lang w:val="en-US" w:eastAsia="es-MX"/>
          </w:rPr>
          <w:t>https://doi.org/10.1007/s00259-014-2961-x</w:t>
        </w:r>
      </w:hyperlink>
    </w:p>
    <w:p w14:paraId="3A3EDC5C" w14:textId="77777777" w:rsidR="00C32A1E" w:rsidRPr="00C32A1E" w:rsidRDefault="00C32A1E" w:rsidP="00C32A1E">
      <w:pPr>
        <w:spacing w:after="115"/>
        <w:ind w:left="993" w:hanging="993"/>
        <w:rPr>
          <w:rFonts w:eastAsia="Times New Roman" w:cs="Times New Roman"/>
          <w:color w:val="000000"/>
          <w:szCs w:val="24"/>
          <w:lang w:val="en-US" w:eastAsia="es-PE"/>
        </w:rPr>
      </w:pPr>
      <w:proofErr w:type="spellStart"/>
      <w:r w:rsidRPr="00C32A1E">
        <w:rPr>
          <w:rFonts w:eastAsia="Times New Roman" w:cs="Times New Roman"/>
          <w:color w:val="000000"/>
          <w:szCs w:val="24"/>
          <w:lang w:eastAsia="es-PE"/>
        </w:rPr>
        <w:t>Farwell</w:t>
      </w:r>
      <w:proofErr w:type="spellEnd"/>
      <w:r w:rsidRPr="00C32A1E">
        <w:rPr>
          <w:rFonts w:eastAsia="Times New Roman" w:cs="Times New Roman"/>
          <w:color w:val="000000"/>
          <w:szCs w:val="24"/>
          <w:lang w:eastAsia="es-PE"/>
        </w:rPr>
        <w:t xml:space="preserve">, MD, </w:t>
      </w:r>
      <w:proofErr w:type="spellStart"/>
      <w:r w:rsidRPr="00C32A1E">
        <w:rPr>
          <w:rFonts w:eastAsia="Times New Roman" w:cs="Times New Roman"/>
          <w:color w:val="000000"/>
          <w:szCs w:val="24"/>
          <w:lang w:eastAsia="es-PE"/>
        </w:rPr>
        <w:t>Pryma</w:t>
      </w:r>
      <w:proofErr w:type="spellEnd"/>
      <w:r w:rsidRPr="00C32A1E">
        <w:rPr>
          <w:rFonts w:eastAsia="Times New Roman" w:cs="Times New Roman"/>
          <w:color w:val="000000"/>
          <w:szCs w:val="24"/>
          <w:lang w:eastAsia="es-PE"/>
        </w:rPr>
        <w:t xml:space="preserve">, DA y </w:t>
      </w:r>
      <w:proofErr w:type="spellStart"/>
      <w:r w:rsidRPr="00C32A1E">
        <w:rPr>
          <w:rFonts w:eastAsia="Times New Roman" w:cs="Times New Roman"/>
          <w:color w:val="000000"/>
          <w:szCs w:val="24"/>
          <w:lang w:eastAsia="es-PE"/>
        </w:rPr>
        <w:t>Mankoff</w:t>
      </w:r>
      <w:proofErr w:type="spellEnd"/>
      <w:r w:rsidRPr="00C32A1E">
        <w:rPr>
          <w:rFonts w:eastAsia="Times New Roman" w:cs="Times New Roman"/>
          <w:color w:val="000000"/>
          <w:szCs w:val="24"/>
          <w:lang w:eastAsia="es-PE"/>
        </w:rPr>
        <w:t xml:space="preserve">, DA (2014). Imágenes PET/CT en cáncer: aplicaciones actuales y direcciones futuras. </w:t>
      </w:r>
      <w:r w:rsidRPr="00C32A1E">
        <w:rPr>
          <w:rFonts w:eastAsia="Times New Roman" w:cs="Times New Roman"/>
          <w:i/>
          <w:iCs/>
          <w:color w:val="000000"/>
          <w:szCs w:val="24"/>
          <w:lang w:val="en-US" w:eastAsia="es-PE"/>
        </w:rPr>
        <w:t>Cancer</w:t>
      </w:r>
      <w:r w:rsidRPr="00C32A1E">
        <w:rPr>
          <w:rFonts w:eastAsia="Times New Roman" w:cs="Times New Roman"/>
          <w:color w:val="000000"/>
          <w:szCs w:val="24"/>
          <w:lang w:val="en-US" w:eastAsia="es-PE"/>
        </w:rPr>
        <w:t>, 120 (22), 3433-3445.</w:t>
      </w:r>
      <w:r w:rsidRPr="00C32A1E">
        <w:rPr>
          <w:rFonts w:eastAsia="Times New Roman" w:cs="Times New Roman"/>
          <w:color w:val="000000"/>
          <w:lang w:val="en-US" w:eastAsia="es-MX"/>
        </w:rPr>
        <w:t xml:space="preserve"> </w:t>
      </w:r>
      <w:hyperlink r:id="rId10" w:history="1">
        <w:r w:rsidRPr="00C32A1E">
          <w:rPr>
            <w:rFonts w:eastAsia="Times New Roman" w:cs="Times New Roman"/>
            <w:color w:val="0563C1"/>
            <w:szCs w:val="24"/>
            <w:u w:val="single"/>
            <w:lang w:val="en-US" w:eastAsia="es-PE"/>
          </w:rPr>
          <w:t>https://acsjournals.onlinelibrary.wiley.com/doi/full/10.1002/cncr.28860</w:t>
        </w:r>
      </w:hyperlink>
    </w:p>
    <w:p w14:paraId="5CF49A3B" w14:textId="77777777" w:rsidR="00C32A1E" w:rsidRPr="00C32A1E" w:rsidRDefault="00C32A1E" w:rsidP="00C32A1E">
      <w:pPr>
        <w:spacing w:after="115"/>
        <w:ind w:left="993" w:hanging="993"/>
        <w:rPr>
          <w:rFonts w:eastAsia="Times New Roman" w:cs="Times New Roman"/>
          <w:color w:val="000000"/>
          <w:szCs w:val="24"/>
          <w:lang w:val="en-US" w:eastAsia="es-MX"/>
        </w:rPr>
      </w:pPr>
      <w:proofErr w:type="spellStart"/>
      <w:r w:rsidRPr="00C32A1E">
        <w:rPr>
          <w:rFonts w:eastAsia="Times New Roman" w:cs="Times New Roman"/>
          <w:color w:val="000000"/>
          <w:szCs w:val="24"/>
          <w:lang w:val="en-US" w:eastAsia="es-MX"/>
        </w:rPr>
        <w:t>Jadvar</w:t>
      </w:r>
      <w:proofErr w:type="spellEnd"/>
      <w:r w:rsidRPr="00C32A1E">
        <w:rPr>
          <w:rFonts w:eastAsia="Times New Roman" w:cs="Times New Roman"/>
          <w:color w:val="000000"/>
          <w:szCs w:val="24"/>
          <w:lang w:val="en-US" w:eastAsia="es-MX"/>
        </w:rPr>
        <w:t xml:space="preserve">, H. (2017). </w:t>
      </w:r>
      <w:r w:rsidRPr="00C32A1E">
        <w:rPr>
          <w:rFonts w:eastAsia="Times New Roman" w:cs="Times New Roman"/>
          <w:b/>
          <w:bCs/>
          <w:color w:val="000000"/>
          <w:szCs w:val="24"/>
          <w:lang w:val="en-US" w:eastAsia="es-MX"/>
        </w:rPr>
        <w:t>Molecular imaging of prostate cancer with PET</w:t>
      </w:r>
      <w:r w:rsidRPr="00C32A1E">
        <w:rPr>
          <w:rFonts w:eastAsia="Times New Roman" w:cs="Times New Roman"/>
          <w:color w:val="000000"/>
          <w:szCs w:val="24"/>
          <w:lang w:val="en-US" w:eastAsia="es-MX"/>
        </w:rPr>
        <w:t xml:space="preserve">. </w:t>
      </w:r>
      <w:r w:rsidRPr="00C32A1E">
        <w:rPr>
          <w:rFonts w:eastAsia="Times New Roman" w:cs="Times New Roman"/>
          <w:i/>
          <w:iCs/>
          <w:color w:val="000000"/>
          <w:szCs w:val="24"/>
          <w:lang w:val="en-US" w:eastAsia="es-MX"/>
        </w:rPr>
        <w:t>Journal of Nuclear Medicine, 58</w:t>
      </w:r>
      <w:r w:rsidRPr="00C32A1E">
        <w:rPr>
          <w:rFonts w:eastAsia="Times New Roman" w:cs="Times New Roman"/>
          <w:color w:val="000000"/>
          <w:szCs w:val="24"/>
          <w:lang w:val="en-US" w:eastAsia="es-MX"/>
        </w:rPr>
        <w:t xml:space="preserve">(4), 67S-76S. </w:t>
      </w:r>
      <w:hyperlink r:id="rId11" w:history="1">
        <w:r w:rsidRPr="00C32A1E">
          <w:rPr>
            <w:rFonts w:eastAsia="Times New Roman" w:cs="Times New Roman"/>
            <w:color w:val="0070C0"/>
            <w:szCs w:val="24"/>
            <w:u w:val="single"/>
            <w:lang w:val="en-US" w:eastAsia="es-MX"/>
          </w:rPr>
          <w:t>https://doi.org/10.2967/jnumed.116.186825</w:t>
        </w:r>
      </w:hyperlink>
    </w:p>
    <w:p w14:paraId="1972B10F" w14:textId="77777777" w:rsidR="00C32A1E" w:rsidRPr="00C32A1E" w:rsidRDefault="00C32A1E" w:rsidP="00C32A1E">
      <w:pPr>
        <w:ind w:left="993" w:hanging="993"/>
        <w:rPr>
          <w:rFonts w:eastAsia="Times New Roman" w:cs="Times New Roman"/>
          <w:color w:val="000000"/>
          <w:szCs w:val="24"/>
          <w:lang w:eastAsia="es-MX"/>
        </w:rPr>
      </w:pPr>
      <w:proofErr w:type="spellStart"/>
      <w:r w:rsidRPr="00C32A1E">
        <w:rPr>
          <w:rFonts w:eastAsia="Times New Roman" w:cs="Times New Roman"/>
          <w:color w:val="000000"/>
          <w:szCs w:val="24"/>
          <w:lang w:eastAsia="es-MX"/>
        </w:rPr>
        <w:t>Martins</w:t>
      </w:r>
      <w:proofErr w:type="spellEnd"/>
      <w:r w:rsidRPr="00C32A1E">
        <w:rPr>
          <w:rFonts w:eastAsia="Times New Roman" w:cs="Times New Roman"/>
          <w:color w:val="000000"/>
          <w:szCs w:val="24"/>
          <w:lang w:eastAsia="es-MX"/>
        </w:rPr>
        <w:t xml:space="preserve">, S., Martín-Suárez, A., y </w:t>
      </w:r>
      <w:proofErr w:type="spellStart"/>
      <w:r w:rsidRPr="00C32A1E">
        <w:rPr>
          <w:rFonts w:eastAsia="Times New Roman" w:cs="Times New Roman"/>
          <w:color w:val="000000"/>
          <w:szCs w:val="24"/>
          <w:lang w:eastAsia="es-MX"/>
        </w:rPr>
        <w:t>Jesus</w:t>
      </w:r>
      <w:proofErr w:type="spellEnd"/>
      <w:r w:rsidRPr="00C32A1E">
        <w:rPr>
          <w:rFonts w:eastAsia="Times New Roman" w:cs="Times New Roman"/>
          <w:color w:val="000000"/>
          <w:szCs w:val="24"/>
          <w:lang w:eastAsia="es-MX"/>
        </w:rPr>
        <w:t xml:space="preserve">, Â. (2025). Reacciones adversas a radiofármacos: análisis retrospectivo del sistema de farmacovigilancia español. </w:t>
      </w:r>
      <w:proofErr w:type="spellStart"/>
      <w:r w:rsidRPr="00C32A1E">
        <w:rPr>
          <w:rFonts w:eastAsia="Times New Roman" w:cs="Times New Roman"/>
          <w:i/>
          <w:iCs/>
          <w:color w:val="000000"/>
          <w:szCs w:val="24"/>
          <w:lang w:eastAsia="es-MX"/>
        </w:rPr>
        <w:t>Pharmaceutical</w:t>
      </w:r>
      <w:proofErr w:type="spellEnd"/>
      <w:r w:rsidRPr="00C32A1E">
        <w:rPr>
          <w:rFonts w:eastAsia="Times New Roman" w:cs="Times New Roman"/>
          <w:i/>
          <w:iCs/>
          <w:color w:val="000000"/>
          <w:szCs w:val="24"/>
          <w:lang w:eastAsia="es-MX"/>
        </w:rPr>
        <w:t xml:space="preserve"> </w:t>
      </w:r>
      <w:proofErr w:type="spellStart"/>
      <w:r w:rsidRPr="00C32A1E">
        <w:rPr>
          <w:rFonts w:eastAsia="Times New Roman" w:cs="Times New Roman"/>
          <w:i/>
          <w:iCs/>
          <w:color w:val="000000"/>
          <w:szCs w:val="24"/>
          <w:lang w:eastAsia="es-MX"/>
        </w:rPr>
        <w:t>Care</w:t>
      </w:r>
      <w:proofErr w:type="spellEnd"/>
      <w:r w:rsidRPr="00C32A1E">
        <w:rPr>
          <w:rFonts w:eastAsia="Times New Roman" w:cs="Times New Roman"/>
          <w:i/>
          <w:iCs/>
          <w:color w:val="000000"/>
          <w:szCs w:val="24"/>
          <w:lang w:eastAsia="es-MX"/>
        </w:rPr>
        <w:t xml:space="preserve"> España,</w:t>
      </w:r>
      <w:r w:rsidRPr="00C32A1E">
        <w:rPr>
          <w:rFonts w:eastAsia="Times New Roman" w:cs="Times New Roman"/>
          <w:color w:val="000000"/>
          <w:szCs w:val="24"/>
          <w:lang w:eastAsia="es-MX"/>
        </w:rPr>
        <w:t xml:space="preserve"> 27.</w:t>
      </w:r>
      <w:r w:rsidRPr="00C32A1E">
        <w:rPr>
          <w:rFonts w:eastAsia="Times New Roman" w:cs="Times New Roman"/>
          <w:color w:val="000000"/>
          <w:lang w:val="es-MX" w:eastAsia="es-MX"/>
        </w:rPr>
        <w:t xml:space="preserve"> </w:t>
      </w:r>
      <w:hyperlink r:id="rId12" w:history="1">
        <w:r w:rsidRPr="00C32A1E">
          <w:rPr>
            <w:rFonts w:eastAsia="Times New Roman" w:cs="Times New Roman"/>
            <w:color w:val="0563C1"/>
            <w:szCs w:val="24"/>
            <w:u w:val="single"/>
            <w:lang w:eastAsia="es-MX"/>
          </w:rPr>
          <w:t>https://www.pharmcareesp.com/index.php/PharmaCARE/article/view/900</w:t>
        </w:r>
      </w:hyperlink>
    </w:p>
    <w:p w14:paraId="7D8F6C26" w14:textId="6E3EBA32" w:rsidR="00C32A1E" w:rsidRPr="00C32A1E" w:rsidRDefault="00C32A1E" w:rsidP="00C32A1E">
      <w:pPr>
        <w:ind w:left="993" w:right="62" w:hanging="993"/>
        <w:rPr>
          <w:rFonts w:eastAsia="Times New Roman" w:cs="Times New Roman"/>
          <w:color w:val="000000"/>
          <w:szCs w:val="24"/>
          <w:lang w:val="en-US" w:eastAsia="es-MX"/>
        </w:rPr>
      </w:pPr>
      <w:r w:rsidRPr="00C32A1E">
        <w:rPr>
          <w:rFonts w:eastAsia="Times New Roman" w:cs="Times New Roman"/>
          <w:color w:val="000000"/>
          <w:szCs w:val="24"/>
          <w:lang w:val="en-US" w:eastAsia="es-MX"/>
        </w:rPr>
        <w:lastRenderedPageBreak/>
        <w:t xml:space="preserve">Wahl, R. L., </w:t>
      </w:r>
      <w:proofErr w:type="spellStart"/>
      <w:r w:rsidRPr="00C32A1E">
        <w:rPr>
          <w:rFonts w:eastAsia="Times New Roman" w:cs="Times New Roman"/>
          <w:color w:val="000000"/>
          <w:szCs w:val="24"/>
          <w:lang w:val="en-US" w:eastAsia="es-MX"/>
        </w:rPr>
        <w:t>Jacene</w:t>
      </w:r>
      <w:proofErr w:type="spellEnd"/>
      <w:r w:rsidRPr="00C32A1E">
        <w:rPr>
          <w:rFonts w:eastAsia="Times New Roman" w:cs="Times New Roman"/>
          <w:color w:val="000000"/>
          <w:szCs w:val="24"/>
          <w:lang w:val="en-US" w:eastAsia="es-MX"/>
        </w:rPr>
        <w:t xml:space="preserve">, H., </w:t>
      </w:r>
      <w:proofErr w:type="spellStart"/>
      <w:r w:rsidRPr="00C32A1E">
        <w:rPr>
          <w:rFonts w:eastAsia="Times New Roman" w:cs="Times New Roman"/>
          <w:color w:val="000000"/>
          <w:szCs w:val="24"/>
          <w:lang w:val="en-US" w:eastAsia="es-MX"/>
        </w:rPr>
        <w:t>Kasamon</w:t>
      </w:r>
      <w:proofErr w:type="spellEnd"/>
      <w:r w:rsidRPr="00C32A1E">
        <w:rPr>
          <w:rFonts w:eastAsia="Times New Roman" w:cs="Times New Roman"/>
          <w:color w:val="000000"/>
          <w:szCs w:val="24"/>
          <w:lang w:val="en-US" w:eastAsia="es-MX"/>
        </w:rPr>
        <w:t>, Y., y Lodge, M. A. (2009). From RECIST to PERCIST: Evolving considerations for PET response criteria in solid tumors.</w:t>
      </w:r>
      <w:r w:rsidRPr="00C32A1E">
        <w:rPr>
          <w:rFonts w:eastAsia="Times New Roman" w:cs="Times New Roman"/>
          <w:color w:val="000000"/>
          <w:szCs w:val="24"/>
          <w:lang w:val="en-US" w:eastAsia="es-MX"/>
        </w:rPr>
        <w:t xml:space="preserve"> </w:t>
      </w:r>
      <w:r w:rsidRPr="00C32A1E">
        <w:rPr>
          <w:rFonts w:eastAsia="Times New Roman" w:cs="Times New Roman"/>
          <w:i/>
          <w:iCs/>
          <w:color w:val="000000"/>
          <w:szCs w:val="24"/>
          <w:lang w:val="en-US" w:eastAsia="es-MX"/>
        </w:rPr>
        <w:t>Journal of Nuclear Medicine,</w:t>
      </w:r>
      <w:r w:rsidRPr="00C32A1E">
        <w:rPr>
          <w:rFonts w:eastAsia="Times New Roman" w:cs="Times New Roman"/>
          <w:color w:val="000000"/>
          <w:szCs w:val="24"/>
          <w:lang w:val="en-US" w:eastAsia="es-MX"/>
        </w:rPr>
        <w:t xml:space="preserve"> 50(5), 122S-150S. </w:t>
      </w:r>
      <w:hyperlink r:id="rId13" w:history="1">
        <w:r w:rsidRPr="00C32A1E">
          <w:rPr>
            <w:rFonts w:eastAsia="Times New Roman" w:cs="Times New Roman"/>
            <w:color w:val="0563C1"/>
            <w:szCs w:val="24"/>
            <w:u w:val="single"/>
            <w:lang w:val="en-US" w:eastAsia="es-MX"/>
          </w:rPr>
          <w:t>https://doi.org/10.2967/jnumed.108.057307</w:t>
        </w:r>
      </w:hyperlink>
    </w:p>
    <w:p w14:paraId="290B7143" w14:textId="77777777" w:rsidR="00C32A1E" w:rsidRPr="00C32A1E" w:rsidRDefault="00C32A1E" w:rsidP="00D05FAA">
      <w:pPr>
        <w:widowControl w:val="0"/>
        <w:autoSpaceDE w:val="0"/>
        <w:autoSpaceDN w:val="0"/>
        <w:ind w:left="567" w:hanging="567"/>
        <w:rPr>
          <w:rFonts w:cs="Times New Roman"/>
          <w:b/>
          <w:bCs/>
          <w:szCs w:val="24"/>
          <w:lang w:val="en-US"/>
        </w:rPr>
      </w:pPr>
    </w:p>
    <w:sectPr w:rsidR="00C32A1E" w:rsidRPr="00C32A1E" w:rsidSect="00D05FAA">
      <w:footerReference w:type="default" r:id="rId14"/>
      <w:pgSz w:w="11907"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D0203" w14:textId="77777777" w:rsidR="000E46A5" w:rsidRDefault="000E46A5" w:rsidP="007F59AF">
      <w:pPr>
        <w:spacing w:line="240" w:lineRule="auto"/>
      </w:pPr>
      <w:r>
        <w:separator/>
      </w:r>
    </w:p>
  </w:endnote>
  <w:endnote w:type="continuationSeparator" w:id="0">
    <w:p w14:paraId="2639F6DD" w14:textId="77777777" w:rsidR="000E46A5" w:rsidRDefault="000E46A5" w:rsidP="007F5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26415"/>
      <w:docPartObj>
        <w:docPartGallery w:val="Page Numbers (Bottom of Page)"/>
        <w:docPartUnique/>
      </w:docPartObj>
    </w:sdtPr>
    <w:sdtEndPr/>
    <w:sdtContent>
      <w:p w14:paraId="0A18B344" w14:textId="10B67F24" w:rsidR="000B5AA7" w:rsidRDefault="000B5AA7">
        <w:pPr>
          <w:pStyle w:val="Piedepgina"/>
          <w:jc w:val="center"/>
        </w:pPr>
        <w:r>
          <w:fldChar w:fldCharType="begin"/>
        </w:r>
        <w:r>
          <w:instrText>PAGE   \* MERGEFORMAT</w:instrText>
        </w:r>
        <w:r>
          <w:fldChar w:fldCharType="separate"/>
        </w:r>
        <w:r>
          <w:rPr>
            <w:lang w:val="es-ES"/>
          </w:rPr>
          <w:t>2</w:t>
        </w:r>
        <w:r>
          <w:fldChar w:fldCharType="end"/>
        </w:r>
      </w:p>
    </w:sdtContent>
  </w:sdt>
  <w:p w14:paraId="54EB034A" w14:textId="77777777" w:rsidR="000B5AA7" w:rsidRDefault="000B5A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5DB57" w14:textId="77777777" w:rsidR="000E46A5" w:rsidRDefault="000E46A5" w:rsidP="007F59AF">
      <w:pPr>
        <w:spacing w:line="240" w:lineRule="auto"/>
      </w:pPr>
      <w:r>
        <w:separator/>
      </w:r>
    </w:p>
  </w:footnote>
  <w:footnote w:type="continuationSeparator" w:id="0">
    <w:p w14:paraId="06019DF4" w14:textId="77777777" w:rsidR="000E46A5" w:rsidRDefault="000E46A5" w:rsidP="007F59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84B"/>
    <w:multiLevelType w:val="multilevel"/>
    <w:tmpl w:val="78AC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9753A"/>
    <w:multiLevelType w:val="multilevel"/>
    <w:tmpl w:val="1C86954C"/>
    <w:lvl w:ilvl="0">
      <w:start w:val="1"/>
      <w:numFmt w:val="upperRoman"/>
      <w:lvlText w:val="%1."/>
      <w:lvlJc w:val="left"/>
      <w:pPr>
        <w:ind w:left="6107" w:hanging="72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4237" w:hanging="720"/>
      </w:pPr>
      <w:rPr>
        <w:rFonts w:hint="default"/>
        <w:b/>
        <w:bCs/>
        <w:i/>
        <w:iCs/>
      </w:rPr>
    </w:lvl>
    <w:lvl w:ilvl="3">
      <w:start w:val="1"/>
      <w:numFmt w:val="decimal"/>
      <w:isLgl/>
      <w:lvlText w:val="%1.%2.%3.%4."/>
      <w:lvlJc w:val="left"/>
      <w:pPr>
        <w:ind w:left="5915"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9631" w:hanging="1080"/>
      </w:pPr>
      <w:rPr>
        <w:rFonts w:hint="default"/>
      </w:rPr>
    </w:lvl>
    <w:lvl w:ilvl="6">
      <w:start w:val="1"/>
      <w:numFmt w:val="decimal"/>
      <w:isLgl/>
      <w:lvlText w:val="%1.%2.%3.%4.%5.%6.%7."/>
      <w:lvlJc w:val="left"/>
      <w:pPr>
        <w:ind w:left="11669" w:hanging="1440"/>
      </w:pPr>
      <w:rPr>
        <w:rFonts w:hint="default"/>
      </w:rPr>
    </w:lvl>
    <w:lvl w:ilvl="7">
      <w:start w:val="1"/>
      <w:numFmt w:val="decimal"/>
      <w:isLgl/>
      <w:lvlText w:val="%1.%2.%3.%4.%5.%6.%7.%8."/>
      <w:lvlJc w:val="left"/>
      <w:pPr>
        <w:ind w:left="13347" w:hanging="1440"/>
      </w:pPr>
      <w:rPr>
        <w:rFonts w:hint="default"/>
      </w:rPr>
    </w:lvl>
    <w:lvl w:ilvl="8">
      <w:start w:val="1"/>
      <w:numFmt w:val="decimal"/>
      <w:isLgl/>
      <w:lvlText w:val="%1.%2.%3.%4.%5.%6.%7.%8.%9."/>
      <w:lvlJc w:val="left"/>
      <w:pPr>
        <w:ind w:left="15385" w:hanging="1800"/>
      </w:pPr>
      <w:rPr>
        <w:rFonts w:hint="default"/>
      </w:rPr>
    </w:lvl>
  </w:abstractNum>
  <w:abstractNum w:abstractNumId="2" w15:restartNumberingAfterBreak="0">
    <w:nsid w:val="048165E3"/>
    <w:multiLevelType w:val="multilevel"/>
    <w:tmpl w:val="170C9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E4BB1"/>
    <w:multiLevelType w:val="hybridMultilevel"/>
    <w:tmpl w:val="F6666386"/>
    <w:lvl w:ilvl="0" w:tplc="8E10A544">
      <w:start w:val="1"/>
      <w:numFmt w:val="lowerLetter"/>
      <w:lvlText w:val="%1."/>
      <w:lvlJc w:val="left"/>
      <w:pPr>
        <w:ind w:left="426" w:hanging="360"/>
      </w:pPr>
      <w:rPr>
        <w:rFonts w:hint="default"/>
        <w:b w:val="0"/>
        <w:bCs/>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4" w15:restartNumberingAfterBreak="0">
    <w:nsid w:val="0FB82648"/>
    <w:multiLevelType w:val="hybridMultilevel"/>
    <w:tmpl w:val="C2F827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15:restartNumberingAfterBreak="0">
    <w:nsid w:val="12A03B42"/>
    <w:multiLevelType w:val="hybridMultilevel"/>
    <w:tmpl w:val="5D948BD8"/>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6" w15:restartNumberingAfterBreak="0">
    <w:nsid w:val="12ED403C"/>
    <w:multiLevelType w:val="hybridMultilevel"/>
    <w:tmpl w:val="E7F42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3E60AA2"/>
    <w:multiLevelType w:val="multilevel"/>
    <w:tmpl w:val="192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E4A18"/>
    <w:multiLevelType w:val="hybridMultilevel"/>
    <w:tmpl w:val="32F429CA"/>
    <w:lvl w:ilvl="0" w:tplc="78DC36EC">
      <w:start w:val="1"/>
      <w:numFmt w:val="lowerLetter"/>
      <w:lvlText w:val="%1."/>
      <w:lvlJc w:val="left"/>
      <w:pPr>
        <w:ind w:left="272" w:hanging="360"/>
      </w:pPr>
      <w:rPr>
        <w:rFonts w:hint="default"/>
        <w:b w:val="0"/>
        <w:bCs/>
      </w:rPr>
    </w:lvl>
    <w:lvl w:ilvl="1" w:tplc="280A0019" w:tentative="1">
      <w:start w:val="1"/>
      <w:numFmt w:val="lowerLetter"/>
      <w:lvlText w:val="%2."/>
      <w:lvlJc w:val="left"/>
      <w:pPr>
        <w:ind w:left="992" w:hanging="360"/>
      </w:pPr>
    </w:lvl>
    <w:lvl w:ilvl="2" w:tplc="280A001B" w:tentative="1">
      <w:start w:val="1"/>
      <w:numFmt w:val="lowerRoman"/>
      <w:lvlText w:val="%3."/>
      <w:lvlJc w:val="right"/>
      <w:pPr>
        <w:ind w:left="1712" w:hanging="180"/>
      </w:pPr>
    </w:lvl>
    <w:lvl w:ilvl="3" w:tplc="280A000F" w:tentative="1">
      <w:start w:val="1"/>
      <w:numFmt w:val="decimal"/>
      <w:lvlText w:val="%4."/>
      <w:lvlJc w:val="left"/>
      <w:pPr>
        <w:ind w:left="2432" w:hanging="360"/>
      </w:pPr>
    </w:lvl>
    <w:lvl w:ilvl="4" w:tplc="280A0019" w:tentative="1">
      <w:start w:val="1"/>
      <w:numFmt w:val="lowerLetter"/>
      <w:lvlText w:val="%5."/>
      <w:lvlJc w:val="left"/>
      <w:pPr>
        <w:ind w:left="3152" w:hanging="360"/>
      </w:pPr>
    </w:lvl>
    <w:lvl w:ilvl="5" w:tplc="280A001B" w:tentative="1">
      <w:start w:val="1"/>
      <w:numFmt w:val="lowerRoman"/>
      <w:lvlText w:val="%6."/>
      <w:lvlJc w:val="right"/>
      <w:pPr>
        <w:ind w:left="3872" w:hanging="180"/>
      </w:pPr>
    </w:lvl>
    <w:lvl w:ilvl="6" w:tplc="280A000F" w:tentative="1">
      <w:start w:val="1"/>
      <w:numFmt w:val="decimal"/>
      <w:lvlText w:val="%7."/>
      <w:lvlJc w:val="left"/>
      <w:pPr>
        <w:ind w:left="4592" w:hanging="360"/>
      </w:pPr>
    </w:lvl>
    <w:lvl w:ilvl="7" w:tplc="280A0019" w:tentative="1">
      <w:start w:val="1"/>
      <w:numFmt w:val="lowerLetter"/>
      <w:lvlText w:val="%8."/>
      <w:lvlJc w:val="left"/>
      <w:pPr>
        <w:ind w:left="5312" w:hanging="360"/>
      </w:pPr>
    </w:lvl>
    <w:lvl w:ilvl="8" w:tplc="280A001B" w:tentative="1">
      <w:start w:val="1"/>
      <w:numFmt w:val="lowerRoman"/>
      <w:lvlText w:val="%9."/>
      <w:lvlJc w:val="right"/>
      <w:pPr>
        <w:ind w:left="6032" w:hanging="180"/>
      </w:pPr>
    </w:lvl>
  </w:abstractNum>
  <w:abstractNum w:abstractNumId="9" w15:restartNumberingAfterBreak="0">
    <w:nsid w:val="16C652BA"/>
    <w:multiLevelType w:val="hybridMultilevel"/>
    <w:tmpl w:val="ECA6437E"/>
    <w:lvl w:ilvl="0" w:tplc="28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1A670FC2"/>
    <w:multiLevelType w:val="hybridMultilevel"/>
    <w:tmpl w:val="4F6C6AC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AE87C96"/>
    <w:multiLevelType w:val="multilevel"/>
    <w:tmpl w:val="CB8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BB4669"/>
    <w:multiLevelType w:val="hybridMultilevel"/>
    <w:tmpl w:val="D1924C8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1E136675"/>
    <w:multiLevelType w:val="multilevel"/>
    <w:tmpl w:val="D088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FC4F65"/>
    <w:multiLevelType w:val="hybridMultilevel"/>
    <w:tmpl w:val="249CCA20"/>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5" w15:restartNumberingAfterBreak="0">
    <w:nsid w:val="21130AF2"/>
    <w:multiLevelType w:val="hybridMultilevel"/>
    <w:tmpl w:val="2E4EBE3E"/>
    <w:lvl w:ilvl="0" w:tplc="8BA0248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2CE689F"/>
    <w:multiLevelType w:val="hybridMultilevel"/>
    <w:tmpl w:val="A0E4D57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3D716A8"/>
    <w:multiLevelType w:val="multilevel"/>
    <w:tmpl w:val="99D2A2F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DC467F"/>
    <w:multiLevelType w:val="hybridMultilevel"/>
    <w:tmpl w:val="5510A7E8"/>
    <w:lvl w:ilvl="0" w:tplc="280A0001">
      <w:start w:val="1"/>
      <w:numFmt w:val="bullet"/>
      <w:lvlText w:val=""/>
      <w:lvlJc w:val="left"/>
      <w:pPr>
        <w:ind w:left="720" w:hanging="360"/>
      </w:pPr>
      <w:rPr>
        <w:rFonts w:ascii="Symbol" w:hAnsi="Symbol" w:hint="default"/>
      </w:rPr>
    </w:lvl>
    <w:lvl w:ilvl="1" w:tplc="280A000F">
      <w:start w:val="1"/>
      <w:numFmt w:val="decimal"/>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E720C3B"/>
    <w:multiLevelType w:val="multilevel"/>
    <w:tmpl w:val="B63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10F86"/>
    <w:multiLevelType w:val="multilevel"/>
    <w:tmpl w:val="669A8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A24C8F"/>
    <w:multiLevelType w:val="multilevel"/>
    <w:tmpl w:val="90D6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B3EB8"/>
    <w:multiLevelType w:val="multilevel"/>
    <w:tmpl w:val="CEDA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6F1F18"/>
    <w:multiLevelType w:val="multilevel"/>
    <w:tmpl w:val="2FB49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A354B1"/>
    <w:multiLevelType w:val="multilevel"/>
    <w:tmpl w:val="7FE61C94"/>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F5F67A5"/>
    <w:multiLevelType w:val="multilevel"/>
    <w:tmpl w:val="E36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8F453B"/>
    <w:multiLevelType w:val="multilevel"/>
    <w:tmpl w:val="5362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283522"/>
    <w:multiLevelType w:val="multilevel"/>
    <w:tmpl w:val="264C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D923B4"/>
    <w:multiLevelType w:val="hybridMultilevel"/>
    <w:tmpl w:val="17128412"/>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449556D1"/>
    <w:multiLevelType w:val="multilevel"/>
    <w:tmpl w:val="AB74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6E4AD3"/>
    <w:multiLevelType w:val="hybridMultilevel"/>
    <w:tmpl w:val="DF964258"/>
    <w:lvl w:ilvl="0" w:tplc="B948B930">
      <w:start w:val="1"/>
      <w:numFmt w:val="decimal"/>
      <w:lvlText w:val="%1"/>
      <w:lvlJc w:val="left"/>
      <w:pPr>
        <w:ind w:left="1429" w:hanging="360"/>
      </w:pPr>
      <w:rPr>
        <w:rFonts w:ascii="Times New Roman" w:eastAsia="Arial" w:hAnsi="Times New Roman" w:cs="Arial"/>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2" w15:restartNumberingAfterBreak="0">
    <w:nsid w:val="4BC459CB"/>
    <w:multiLevelType w:val="multilevel"/>
    <w:tmpl w:val="088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73E8D"/>
    <w:multiLevelType w:val="hybridMultilevel"/>
    <w:tmpl w:val="BA88A156"/>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34" w15:restartNumberingAfterBreak="0">
    <w:nsid w:val="5D2B0D25"/>
    <w:multiLevelType w:val="hybridMultilevel"/>
    <w:tmpl w:val="FEDE25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E8C66EC"/>
    <w:multiLevelType w:val="hybridMultilevel"/>
    <w:tmpl w:val="775A1F1E"/>
    <w:lvl w:ilvl="0" w:tplc="0BBA4B30">
      <w:start w:val="1"/>
      <w:numFmt w:val="lowerLetter"/>
      <w:lvlText w:val="%1."/>
      <w:lvlJc w:val="left"/>
      <w:pPr>
        <w:ind w:left="403" w:hanging="360"/>
      </w:pPr>
      <w:rPr>
        <w:rFonts w:hint="default"/>
        <w:b w:val="0"/>
        <w:bCs/>
      </w:rPr>
    </w:lvl>
    <w:lvl w:ilvl="1" w:tplc="280A0019" w:tentative="1">
      <w:start w:val="1"/>
      <w:numFmt w:val="lowerLetter"/>
      <w:lvlText w:val="%2."/>
      <w:lvlJc w:val="left"/>
      <w:pPr>
        <w:ind w:left="1123" w:hanging="360"/>
      </w:pPr>
    </w:lvl>
    <w:lvl w:ilvl="2" w:tplc="280A001B" w:tentative="1">
      <w:start w:val="1"/>
      <w:numFmt w:val="lowerRoman"/>
      <w:lvlText w:val="%3."/>
      <w:lvlJc w:val="right"/>
      <w:pPr>
        <w:ind w:left="1843" w:hanging="180"/>
      </w:pPr>
    </w:lvl>
    <w:lvl w:ilvl="3" w:tplc="280A000F" w:tentative="1">
      <w:start w:val="1"/>
      <w:numFmt w:val="decimal"/>
      <w:lvlText w:val="%4."/>
      <w:lvlJc w:val="left"/>
      <w:pPr>
        <w:ind w:left="2563" w:hanging="360"/>
      </w:pPr>
    </w:lvl>
    <w:lvl w:ilvl="4" w:tplc="280A0019" w:tentative="1">
      <w:start w:val="1"/>
      <w:numFmt w:val="lowerLetter"/>
      <w:lvlText w:val="%5."/>
      <w:lvlJc w:val="left"/>
      <w:pPr>
        <w:ind w:left="3283" w:hanging="360"/>
      </w:pPr>
    </w:lvl>
    <w:lvl w:ilvl="5" w:tplc="280A001B" w:tentative="1">
      <w:start w:val="1"/>
      <w:numFmt w:val="lowerRoman"/>
      <w:lvlText w:val="%6."/>
      <w:lvlJc w:val="right"/>
      <w:pPr>
        <w:ind w:left="4003" w:hanging="180"/>
      </w:pPr>
    </w:lvl>
    <w:lvl w:ilvl="6" w:tplc="280A000F" w:tentative="1">
      <w:start w:val="1"/>
      <w:numFmt w:val="decimal"/>
      <w:lvlText w:val="%7."/>
      <w:lvlJc w:val="left"/>
      <w:pPr>
        <w:ind w:left="4723" w:hanging="360"/>
      </w:pPr>
    </w:lvl>
    <w:lvl w:ilvl="7" w:tplc="280A0019" w:tentative="1">
      <w:start w:val="1"/>
      <w:numFmt w:val="lowerLetter"/>
      <w:lvlText w:val="%8."/>
      <w:lvlJc w:val="left"/>
      <w:pPr>
        <w:ind w:left="5443" w:hanging="360"/>
      </w:pPr>
    </w:lvl>
    <w:lvl w:ilvl="8" w:tplc="280A001B" w:tentative="1">
      <w:start w:val="1"/>
      <w:numFmt w:val="lowerRoman"/>
      <w:lvlText w:val="%9."/>
      <w:lvlJc w:val="right"/>
      <w:pPr>
        <w:ind w:left="6163" w:hanging="180"/>
      </w:pPr>
    </w:lvl>
  </w:abstractNum>
  <w:abstractNum w:abstractNumId="36" w15:restartNumberingAfterBreak="0">
    <w:nsid w:val="655B2FEC"/>
    <w:multiLevelType w:val="multilevel"/>
    <w:tmpl w:val="5BDA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345505"/>
    <w:multiLevelType w:val="hybridMultilevel"/>
    <w:tmpl w:val="ADD2DDF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8" w15:restartNumberingAfterBreak="0">
    <w:nsid w:val="6E74397C"/>
    <w:multiLevelType w:val="hybridMultilevel"/>
    <w:tmpl w:val="C1BA7B82"/>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6FEC01C7"/>
    <w:multiLevelType w:val="multilevel"/>
    <w:tmpl w:val="CDAA9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D725C7"/>
    <w:multiLevelType w:val="multilevel"/>
    <w:tmpl w:val="D100A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BC10E6"/>
    <w:multiLevelType w:val="multilevel"/>
    <w:tmpl w:val="17D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F0C14"/>
    <w:multiLevelType w:val="multilevel"/>
    <w:tmpl w:val="3CD8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1D1CBD"/>
    <w:multiLevelType w:val="multilevel"/>
    <w:tmpl w:val="64C8E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906C59"/>
    <w:multiLevelType w:val="multilevel"/>
    <w:tmpl w:val="CBF89F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C44943"/>
    <w:multiLevelType w:val="multilevel"/>
    <w:tmpl w:val="AAB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9"/>
  </w:num>
  <w:num w:numId="4">
    <w:abstractNumId w:val="35"/>
  </w:num>
  <w:num w:numId="5">
    <w:abstractNumId w:val="8"/>
  </w:num>
  <w:num w:numId="6">
    <w:abstractNumId w:val="3"/>
  </w:num>
  <w:num w:numId="7">
    <w:abstractNumId w:val="18"/>
  </w:num>
  <w:num w:numId="8">
    <w:abstractNumId w:val="10"/>
  </w:num>
  <w:num w:numId="9">
    <w:abstractNumId w:val="16"/>
  </w:num>
  <w:num w:numId="10">
    <w:abstractNumId w:val="37"/>
  </w:num>
  <w:num w:numId="11">
    <w:abstractNumId w:val="31"/>
  </w:num>
  <w:num w:numId="12">
    <w:abstractNumId w:val="19"/>
  </w:num>
  <w:num w:numId="13">
    <w:abstractNumId w:val="17"/>
  </w:num>
  <w:num w:numId="14">
    <w:abstractNumId w:val="36"/>
  </w:num>
  <w:num w:numId="15">
    <w:abstractNumId w:val="43"/>
  </w:num>
  <w:num w:numId="16">
    <w:abstractNumId w:val="14"/>
  </w:num>
  <w:num w:numId="17">
    <w:abstractNumId w:val="25"/>
  </w:num>
  <w:num w:numId="18">
    <w:abstractNumId w:val="44"/>
  </w:num>
  <w:num w:numId="19">
    <w:abstractNumId w:val="13"/>
  </w:num>
  <w:num w:numId="20">
    <w:abstractNumId w:val="32"/>
  </w:num>
  <w:num w:numId="21">
    <w:abstractNumId w:val="20"/>
  </w:num>
  <w:num w:numId="22">
    <w:abstractNumId w:val="22"/>
  </w:num>
  <w:num w:numId="23">
    <w:abstractNumId w:val="41"/>
  </w:num>
  <w:num w:numId="24">
    <w:abstractNumId w:val="38"/>
  </w:num>
  <w:num w:numId="25">
    <w:abstractNumId w:val="15"/>
  </w:num>
  <w:num w:numId="26">
    <w:abstractNumId w:val="12"/>
  </w:num>
  <w:num w:numId="27">
    <w:abstractNumId w:val="33"/>
  </w:num>
  <w:num w:numId="28">
    <w:abstractNumId w:val="6"/>
  </w:num>
  <w:num w:numId="29">
    <w:abstractNumId w:val="4"/>
  </w:num>
  <w:num w:numId="30">
    <w:abstractNumId w:val="5"/>
  </w:num>
  <w:num w:numId="31">
    <w:abstractNumId w:val="34"/>
  </w:num>
  <w:num w:numId="32">
    <w:abstractNumId w:val="42"/>
  </w:num>
  <w:num w:numId="33">
    <w:abstractNumId w:val="0"/>
  </w:num>
  <w:num w:numId="34">
    <w:abstractNumId w:val="21"/>
  </w:num>
  <w:num w:numId="35">
    <w:abstractNumId w:val="2"/>
  </w:num>
  <w:num w:numId="36">
    <w:abstractNumId w:val="9"/>
  </w:num>
  <w:num w:numId="37">
    <w:abstractNumId w:val="11"/>
  </w:num>
  <w:num w:numId="38">
    <w:abstractNumId w:val="7"/>
  </w:num>
  <w:num w:numId="39">
    <w:abstractNumId w:val="30"/>
  </w:num>
  <w:num w:numId="40">
    <w:abstractNumId w:val="45"/>
  </w:num>
  <w:num w:numId="41">
    <w:abstractNumId w:val="26"/>
  </w:num>
  <w:num w:numId="42">
    <w:abstractNumId w:val="28"/>
  </w:num>
  <w:num w:numId="43">
    <w:abstractNumId w:val="27"/>
  </w:num>
  <w:num w:numId="44">
    <w:abstractNumId w:val="23"/>
  </w:num>
  <w:num w:numId="45">
    <w:abstractNumId w:val="40"/>
  </w:num>
  <w:num w:numId="46">
    <w:abstractNumId w:val="24"/>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18"/>
    <w:rsid w:val="0002329A"/>
    <w:rsid w:val="000B5AA7"/>
    <w:rsid w:val="000E46A5"/>
    <w:rsid w:val="00101D2A"/>
    <w:rsid w:val="00127E37"/>
    <w:rsid w:val="00143F7C"/>
    <w:rsid w:val="00164775"/>
    <w:rsid w:val="00200004"/>
    <w:rsid w:val="00211E39"/>
    <w:rsid w:val="00221EE9"/>
    <w:rsid w:val="00262147"/>
    <w:rsid w:val="002A7586"/>
    <w:rsid w:val="002D606C"/>
    <w:rsid w:val="002F3ECF"/>
    <w:rsid w:val="003073E5"/>
    <w:rsid w:val="00382DA5"/>
    <w:rsid w:val="00392F41"/>
    <w:rsid w:val="003B6A69"/>
    <w:rsid w:val="003E08AB"/>
    <w:rsid w:val="003F28B9"/>
    <w:rsid w:val="0040082C"/>
    <w:rsid w:val="00431108"/>
    <w:rsid w:val="00463F8F"/>
    <w:rsid w:val="00506780"/>
    <w:rsid w:val="00530A8F"/>
    <w:rsid w:val="00567D28"/>
    <w:rsid w:val="0059230D"/>
    <w:rsid w:val="006121D2"/>
    <w:rsid w:val="00613593"/>
    <w:rsid w:val="006464DA"/>
    <w:rsid w:val="00665243"/>
    <w:rsid w:val="00680D71"/>
    <w:rsid w:val="006C0D8D"/>
    <w:rsid w:val="006F30C5"/>
    <w:rsid w:val="0070798B"/>
    <w:rsid w:val="00721920"/>
    <w:rsid w:val="0077313F"/>
    <w:rsid w:val="0079562A"/>
    <w:rsid w:val="007E24DF"/>
    <w:rsid w:val="007F2702"/>
    <w:rsid w:val="007F59AF"/>
    <w:rsid w:val="00821BAF"/>
    <w:rsid w:val="00826422"/>
    <w:rsid w:val="00832464"/>
    <w:rsid w:val="008C75C6"/>
    <w:rsid w:val="008E02B5"/>
    <w:rsid w:val="00900F50"/>
    <w:rsid w:val="009210B2"/>
    <w:rsid w:val="00947B7F"/>
    <w:rsid w:val="00957BC4"/>
    <w:rsid w:val="00980455"/>
    <w:rsid w:val="00996D0F"/>
    <w:rsid w:val="00B12790"/>
    <w:rsid w:val="00B15060"/>
    <w:rsid w:val="00B23013"/>
    <w:rsid w:val="00BE0B25"/>
    <w:rsid w:val="00BF5831"/>
    <w:rsid w:val="00C02CB7"/>
    <w:rsid w:val="00C10222"/>
    <w:rsid w:val="00C1166F"/>
    <w:rsid w:val="00C1312D"/>
    <w:rsid w:val="00C32A1E"/>
    <w:rsid w:val="00C35D18"/>
    <w:rsid w:val="00C50A66"/>
    <w:rsid w:val="00C9268F"/>
    <w:rsid w:val="00C9675B"/>
    <w:rsid w:val="00CA5B23"/>
    <w:rsid w:val="00CB6107"/>
    <w:rsid w:val="00CF4DA7"/>
    <w:rsid w:val="00D05FAA"/>
    <w:rsid w:val="00D17D58"/>
    <w:rsid w:val="00D338F4"/>
    <w:rsid w:val="00D82091"/>
    <w:rsid w:val="00D84CE8"/>
    <w:rsid w:val="00D86912"/>
    <w:rsid w:val="00D8797B"/>
    <w:rsid w:val="00DB1DB8"/>
    <w:rsid w:val="00DB6CD8"/>
    <w:rsid w:val="00DC73DF"/>
    <w:rsid w:val="00DE15EC"/>
    <w:rsid w:val="00DE6DAA"/>
    <w:rsid w:val="00E617E9"/>
    <w:rsid w:val="00E62045"/>
    <w:rsid w:val="00F07300"/>
    <w:rsid w:val="00F148EC"/>
    <w:rsid w:val="00F47BC5"/>
    <w:rsid w:val="00F60A18"/>
    <w:rsid w:val="00F91108"/>
    <w:rsid w:val="00F9755A"/>
    <w:rsid w:val="00FA523C"/>
    <w:rsid w:val="00FC36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F31"/>
  <w15:docId w15:val="{7A79F1AF-F557-448B-A80D-3ED2519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D8D"/>
    <w:pPr>
      <w:spacing w:after="0" w:line="48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2"/>
      </w:numPr>
      <w:autoSpaceDE w:val="0"/>
      <w:autoSpaceDN w:val="0"/>
      <w:spacing w:before="97"/>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2"/>
      </w:numPr>
      <w:autoSpaceDE w:val="0"/>
      <w:autoSpaceDN w:val="0"/>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2"/>
      </w:numPr>
      <w:autoSpaceDE w:val="0"/>
      <w:autoSpaceDN w:val="0"/>
      <w:spacing w:before="40"/>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2"/>
      </w:numPr>
      <w:autoSpaceDE w:val="0"/>
      <w:autoSpaceDN w:val="0"/>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2"/>
      </w:numPr>
      <w:autoSpaceDE w:val="0"/>
      <w:autoSpaceDN w:val="0"/>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2"/>
      </w:numPr>
      <w:autoSpaceDE w:val="0"/>
      <w:autoSpaceDN w:val="0"/>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2"/>
      </w:numPr>
      <w:autoSpaceDE w:val="0"/>
      <w:autoSpaceDN w:val="0"/>
      <w:spacing w:before="40"/>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2"/>
      </w:numPr>
      <w:autoSpaceDE w:val="0"/>
      <w:autoSpaceDN w:val="0"/>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2"/>
      </w:numPr>
      <w:autoSpaceDE w:val="0"/>
      <w:autoSpaceDN w:val="0"/>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pPr>
    <w:rPr>
      <w:rFonts w:eastAsia="Arial" w:cs="Arial"/>
      <w:color w:val="000000"/>
      <w:lang w:val="es-ES"/>
    </w:rPr>
  </w:style>
  <w:style w:type="paragraph" w:styleId="Descripcin">
    <w:name w:val="caption"/>
    <w:basedOn w:val="Normal"/>
    <w:next w:val="Normal"/>
    <w:link w:val="Descripcin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DescripcinCar">
    <w:name w:val="Descripción Car"/>
    <w:link w:val="Descripcin"/>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pPr>
    <w:rPr>
      <w:rFonts w:eastAsia="Arial" w:cs="Arial"/>
      <w:color w:val="000000"/>
      <w:lang w:val="es-ES"/>
    </w:rPr>
  </w:style>
  <w:style w:type="character" w:styleId="Mencinsinresolver">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1647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Tablanormal2"/>
    <w:uiPriority w:val="42"/>
    <w:rsid w:val="00164775"/>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Tablanormal2"/>
    <w:uiPriority w:val="42"/>
    <w:rsid w:val="00200004"/>
    <w:pPr>
      <w:spacing w:after="0" w:line="240" w:lineRule="auto"/>
    </w:pPr>
    <w:rPr>
      <w:rFonts w:eastAsia="Times New Roman"/>
      <w:lang w:val="es-MX" w:eastAsia="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 w:id="2061662060">
      <w:bodyDiv w:val="1"/>
      <w:marLeft w:val="0"/>
      <w:marRight w:val="0"/>
      <w:marTop w:val="0"/>
      <w:marBottom w:val="0"/>
      <w:divBdr>
        <w:top w:val="none" w:sz="0" w:space="0" w:color="auto"/>
        <w:left w:val="none" w:sz="0" w:space="0" w:color="auto"/>
        <w:bottom w:val="none" w:sz="0" w:space="0" w:color="auto"/>
        <w:right w:val="none" w:sz="0" w:space="0" w:color="auto"/>
      </w:divBdr>
    </w:div>
    <w:div w:id="212927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259-014-2961-x" TargetMode="External"/><Relationship Id="rId13" Type="http://schemas.openxmlformats.org/officeDocument/2006/relationships/hyperlink" Target="https://doi.org/10.2967/jnumed.108.0573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harmcareesp.com/index.php/PharmaCARE/article/view/9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67/jnumed.116.1868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csjournals.onlinelibrary.wiley.com/doi/full/10.1002/cncr.28860" TargetMode="External"/><Relationship Id="rId4" Type="http://schemas.openxmlformats.org/officeDocument/2006/relationships/settings" Target="settings.xml"/><Relationship Id="rId9" Type="http://schemas.openxmlformats.org/officeDocument/2006/relationships/hyperlink" Target="https://doi.org/10.1007/s00259-014-2961-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768E-8174-4A16-98E5-E675DB70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2995</Words>
  <Characters>16475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GISELLE HUAMAN SANCHEZ</cp:lastModifiedBy>
  <cp:revision>2</cp:revision>
  <cp:lastPrinted>2025-03-06T16:39:00Z</cp:lastPrinted>
  <dcterms:created xsi:type="dcterms:W3CDTF">2026-01-07T03:37:00Z</dcterms:created>
  <dcterms:modified xsi:type="dcterms:W3CDTF">2026-01-07T03:37:00Z</dcterms:modified>
</cp:coreProperties>
</file>