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15" w:rsidRPr="002725ED" w:rsidRDefault="006F075D">
      <w:pPr>
        <w:pStyle w:val="normal0"/>
        <w:jc w:val="center"/>
        <w:rPr>
          <w:rFonts w:ascii="Arial" w:eastAsia="Times New Roman" w:hAnsi="Arial" w:cs="Arial"/>
          <w:b/>
          <w:sz w:val="20"/>
          <w:szCs w:val="20"/>
        </w:rPr>
      </w:pPr>
      <w:r w:rsidRPr="002725ED">
        <w:rPr>
          <w:rFonts w:ascii="Arial" w:eastAsia="Times New Roman" w:hAnsi="Arial" w:cs="Arial"/>
          <w:b/>
          <w:sz w:val="20"/>
          <w:szCs w:val="20"/>
        </w:rPr>
        <w:t>TEORIA DE LA CONTRIBUCION MUNICIPAL</w:t>
      </w:r>
    </w:p>
    <w:p w:rsidR="00D22415" w:rsidRPr="002725ED" w:rsidRDefault="00D22415">
      <w:pPr>
        <w:pStyle w:val="normal0"/>
        <w:spacing w:after="0" w:line="360" w:lineRule="auto"/>
        <w:jc w:val="both"/>
        <w:rPr>
          <w:rFonts w:ascii="Arial" w:eastAsia="Times New Roman" w:hAnsi="Arial" w:cs="Arial"/>
          <w:b/>
          <w:sz w:val="20"/>
          <w:szCs w:val="20"/>
        </w:rPr>
      </w:pPr>
    </w:p>
    <w:p w:rsidR="00D22415" w:rsidRPr="002725ED" w:rsidRDefault="006F075D">
      <w:pPr>
        <w:pStyle w:val="normal0"/>
        <w:spacing w:after="0" w:line="276" w:lineRule="auto"/>
        <w:jc w:val="both"/>
        <w:rPr>
          <w:rFonts w:ascii="Arial" w:eastAsia="Times New Roman" w:hAnsi="Arial" w:cs="Arial"/>
          <w:b/>
          <w:sz w:val="20"/>
          <w:szCs w:val="20"/>
        </w:rPr>
      </w:pPr>
      <w:r w:rsidRPr="002725ED">
        <w:rPr>
          <w:rFonts w:ascii="Arial" w:eastAsia="Times New Roman" w:hAnsi="Arial" w:cs="Arial"/>
          <w:b/>
          <w:sz w:val="20"/>
          <w:szCs w:val="20"/>
          <w:u w:val="single"/>
        </w:rPr>
        <w:t>RESUMEN</w:t>
      </w:r>
      <w:r w:rsidRPr="002725ED">
        <w:rPr>
          <w:rFonts w:ascii="Arial" w:eastAsia="Times New Roman" w:hAnsi="Arial" w:cs="Arial"/>
          <w:b/>
          <w:sz w:val="20"/>
          <w:szCs w:val="20"/>
        </w:rPr>
        <w:t>:</w:t>
      </w:r>
    </w:p>
    <w:p w:rsidR="00D22415" w:rsidRPr="002725ED" w:rsidRDefault="00D22415">
      <w:pPr>
        <w:pStyle w:val="normal0"/>
        <w:spacing w:after="0" w:line="276"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La contribución fiscal es una modalidad de tributo, que permite a los gobiernos locales la realización de obras públicas de mediana envergadura, mediante la aportación económica de la población vecinal; Denominado por un sector de la doctrina, como Contrib</w:t>
      </w:r>
      <w:r w:rsidRPr="002725ED">
        <w:rPr>
          <w:rFonts w:ascii="Arial" w:eastAsia="Times New Roman" w:hAnsi="Arial" w:cs="Arial"/>
          <w:sz w:val="20"/>
          <w:szCs w:val="20"/>
        </w:rPr>
        <w:t xml:space="preserve">ución Especial por Mejoras, toda vez, que la ejecución de la obra pública, incrementará el valor de la propiedad de los obligados tributarios. </w:t>
      </w:r>
    </w:p>
    <w:p w:rsidR="00D22415" w:rsidRPr="002725ED" w:rsidRDefault="00D22415">
      <w:pPr>
        <w:pStyle w:val="normal0"/>
        <w:spacing w:after="0" w:line="276"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Considerando la limitación presupuestaria de los gobiernos locales, la Contribución por Obras Públicas, resulta</w:t>
      </w:r>
      <w:r w:rsidRPr="002725ED">
        <w:rPr>
          <w:rFonts w:ascii="Arial" w:eastAsia="Times New Roman" w:hAnsi="Arial" w:cs="Arial"/>
          <w:sz w:val="20"/>
          <w:szCs w:val="20"/>
        </w:rPr>
        <w:t xml:space="preserve"> un mecanismo eficiente para el desarrollo y ampliación de la infraestructura local. Sin embargo, al mantener su carácter obligatorio y coercitivo (Tributo), esta deberá ser instaurada mediante Ordenanza y reglamentada a través de Decreto de Alcaldía, prev</w:t>
      </w:r>
      <w:r w:rsidRPr="002725ED">
        <w:rPr>
          <w:rFonts w:ascii="Arial" w:eastAsia="Times New Roman" w:hAnsi="Arial" w:cs="Arial"/>
          <w:sz w:val="20"/>
          <w:szCs w:val="20"/>
        </w:rPr>
        <w:t xml:space="preserve">ia publicidad y conocimiento de la población distrital. </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 xml:space="preserve">Así mismo, su creación obedece a la previa sustentación y cumplimiento de ciertos requisitos de carácter técnico, como la publicidad del valor aproximado de la obra, la determinación del aumento de </w:t>
      </w:r>
      <w:r w:rsidRPr="002725ED">
        <w:rPr>
          <w:rFonts w:ascii="Arial" w:eastAsia="Times New Roman" w:hAnsi="Arial" w:cs="Arial"/>
          <w:sz w:val="20"/>
          <w:szCs w:val="20"/>
        </w:rPr>
        <w:t xml:space="preserve">valor de las propiedades dentro de zona de beneficio (Obra Pública) y la participación ciudadana vecinal (Sujeto Pasivo del Tributo), quienes serán beneficiados de manera directa por la obra municipal. </w:t>
      </w:r>
    </w:p>
    <w:p w:rsidR="00D22415" w:rsidRPr="002725ED" w:rsidRDefault="00D22415">
      <w:pPr>
        <w:pStyle w:val="normal0"/>
        <w:spacing w:after="0" w:line="360" w:lineRule="auto"/>
        <w:jc w:val="both"/>
        <w:rPr>
          <w:rFonts w:ascii="Arial" w:eastAsia="Times New Roman" w:hAnsi="Arial" w:cs="Arial"/>
          <w:b/>
          <w:sz w:val="20"/>
          <w:szCs w:val="20"/>
        </w:rPr>
      </w:pPr>
    </w:p>
    <w:p w:rsidR="00D22415" w:rsidRPr="002725ED" w:rsidRDefault="006F075D">
      <w:pPr>
        <w:pStyle w:val="normal0"/>
        <w:spacing w:after="0" w:line="276" w:lineRule="auto"/>
        <w:jc w:val="both"/>
        <w:rPr>
          <w:rFonts w:ascii="Arial" w:eastAsia="Times New Roman" w:hAnsi="Arial" w:cs="Arial"/>
          <w:b/>
          <w:sz w:val="20"/>
          <w:szCs w:val="20"/>
        </w:rPr>
      </w:pPr>
      <w:r w:rsidRPr="002725ED">
        <w:rPr>
          <w:rFonts w:ascii="Arial" w:eastAsia="Times New Roman" w:hAnsi="Arial" w:cs="Arial"/>
          <w:b/>
          <w:sz w:val="20"/>
          <w:szCs w:val="20"/>
          <w:u w:val="single"/>
        </w:rPr>
        <w:t>ABSTRACT</w:t>
      </w:r>
      <w:r w:rsidRPr="002725ED">
        <w:rPr>
          <w:rFonts w:ascii="Arial" w:eastAsia="Times New Roman" w:hAnsi="Arial" w:cs="Arial"/>
          <w:b/>
          <w:sz w:val="20"/>
          <w:szCs w:val="20"/>
        </w:rPr>
        <w:t>:</w:t>
      </w:r>
    </w:p>
    <w:p w:rsidR="00D22415" w:rsidRPr="002725ED" w:rsidRDefault="00D22415">
      <w:pPr>
        <w:pStyle w:val="normal0"/>
        <w:spacing w:after="0" w:line="276" w:lineRule="auto"/>
        <w:jc w:val="both"/>
        <w:rPr>
          <w:rFonts w:ascii="Arial" w:eastAsia="Times New Roman" w:hAnsi="Arial" w:cs="Arial"/>
          <w:b/>
          <w:sz w:val="20"/>
          <w:szCs w:val="20"/>
        </w:rPr>
      </w:pPr>
    </w:p>
    <w:p w:rsidR="00D22415" w:rsidRPr="002725ED" w:rsidRDefault="006F075D">
      <w:pPr>
        <w:pStyle w:val="normal0"/>
        <w:spacing w:after="0" w:line="360" w:lineRule="auto"/>
        <w:jc w:val="both"/>
        <w:rPr>
          <w:rFonts w:ascii="Arial" w:eastAsia="Times New Roman" w:hAnsi="Arial" w:cs="Arial"/>
          <w:sz w:val="20"/>
          <w:szCs w:val="20"/>
        </w:rPr>
      </w:pP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fiscal </w:t>
      </w:r>
      <w:proofErr w:type="spellStart"/>
      <w:r w:rsidRPr="002725ED">
        <w:rPr>
          <w:rFonts w:ascii="Arial" w:eastAsia="Times New Roman" w:hAnsi="Arial" w:cs="Arial"/>
          <w:sz w:val="20"/>
          <w:szCs w:val="20"/>
        </w:rPr>
        <w:t>contribution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is</w:t>
      </w:r>
      <w:proofErr w:type="spellEnd"/>
      <w:r w:rsidRPr="002725ED">
        <w:rPr>
          <w:rFonts w:ascii="Arial" w:eastAsia="Times New Roman" w:hAnsi="Arial" w:cs="Arial"/>
          <w:sz w:val="20"/>
          <w:szCs w:val="20"/>
        </w:rPr>
        <w:t xml:space="preserve"> a </w:t>
      </w:r>
      <w:proofErr w:type="spellStart"/>
      <w:r w:rsidRPr="002725ED">
        <w:rPr>
          <w:rFonts w:ascii="Arial" w:eastAsia="Times New Roman" w:hAnsi="Arial" w:cs="Arial"/>
          <w:sz w:val="20"/>
          <w:szCs w:val="20"/>
        </w:rPr>
        <w:t>type</w:t>
      </w:r>
      <w:proofErr w:type="spellEnd"/>
      <w:r w:rsidRPr="002725ED">
        <w:rPr>
          <w:rFonts w:ascii="Arial" w:eastAsia="Times New Roman" w:hAnsi="Arial" w:cs="Arial"/>
          <w:sz w:val="20"/>
          <w:szCs w:val="20"/>
        </w:rPr>
        <w:t xml:space="preserve"> of trib</w:t>
      </w:r>
      <w:r w:rsidRPr="002725ED">
        <w:rPr>
          <w:rFonts w:ascii="Arial" w:eastAsia="Times New Roman" w:hAnsi="Arial" w:cs="Arial"/>
          <w:sz w:val="20"/>
          <w:szCs w:val="20"/>
        </w:rPr>
        <w:t xml:space="preserve">ute, </w:t>
      </w:r>
      <w:proofErr w:type="spellStart"/>
      <w:r w:rsidRPr="002725ED">
        <w:rPr>
          <w:rFonts w:ascii="Arial" w:eastAsia="Times New Roman" w:hAnsi="Arial" w:cs="Arial"/>
          <w:sz w:val="20"/>
          <w:szCs w:val="20"/>
        </w:rPr>
        <w:t>which</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allows</w:t>
      </w:r>
      <w:proofErr w:type="spellEnd"/>
      <w:r w:rsidRPr="002725ED">
        <w:rPr>
          <w:rFonts w:ascii="Arial" w:eastAsia="Times New Roman" w:hAnsi="Arial" w:cs="Arial"/>
          <w:sz w:val="20"/>
          <w:szCs w:val="20"/>
        </w:rPr>
        <w:t xml:space="preserve"> local </w:t>
      </w:r>
      <w:proofErr w:type="spellStart"/>
      <w:r w:rsidRPr="002725ED">
        <w:rPr>
          <w:rFonts w:ascii="Arial" w:eastAsia="Times New Roman" w:hAnsi="Arial" w:cs="Arial"/>
          <w:sz w:val="20"/>
          <w:szCs w:val="20"/>
        </w:rPr>
        <w:t>governments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to</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carry</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out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medium-sized</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public</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works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through</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economic</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contribution</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local </w:t>
      </w:r>
      <w:proofErr w:type="spellStart"/>
      <w:r w:rsidRPr="002725ED">
        <w:rPr>
          <w:rFonts w:ascii="Arial" w:eastAsia="Times New Roman" w:hAnsi="Arial" w:cs="Arial"/>
          <w:sz w:val="20"/>
          <w:szCs w:val="20"/>
        </w:rPr>
        <w:t>population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Named</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by</w:t>
      </w:r>
      <w:proofErr w:type="spellEnd"/>
      <w:r w:rsidRPr="002725ED">
        <w:rPr>
          <w:rFonts w:ascii="Arial" w:eastAsia="Times New Roman" w:hAnsi="Arial" w:cs="Arial"/>
          <w:sz w:val="20"/>
          <w:szCs w:val="20"/>
        </w:rPr>
        <w:t xml:space="preserve"> a sector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doctrine, as </w:t>
      </w:r>
      <w:proofErr w:type="spellStart"/>
      <w:r w:rsidRPr="002725ED">
        <w:rPr>
          <w:rFonts w:ascii="Arial" w:eastAsia="Times New Roman" w:hAnsi="Arial" w:cs="Arial"/>
          <w:sz w:val="20"/>
          <w:szCs w:val="20"/>
        </w:rPr>
        <w:t>Special</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Contribution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for</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Improvements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since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execution</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public</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works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will</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inc</w:t>
      </w:r>
      <w:r w:rsidRPr="002725ED">
        <w:rPr>
          <w:rFonts w:ascii="Arial" w:eastAsia="Times New Roman" w:hAnsi="Arial" w:cs="Arial"/>
          <w:sz w:val="20"/>
          <w:szCs w:val="20"/>
        </w:rPr>
        <w:t>rease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value</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property</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taxpayers</w:t>
      </w:r>
      <w:proofErr w:type="spellEnd"/>
      <w:r w:rsidRPr="002725ED">
        <w:rPr>
          <w:rFonts w:ascii="Arial" w:eastAsia="Times New Roman" w:hAnsi="Arial" w:cs="Arial"/>
          <w:sz w:val="20"/>
          <w:szCs w:val="20"/>
        </w:rPr>
        <w:t>.</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proofErr w:type="spellStart"/>
      <w:r w:rsidRPr="002725ED">
        <w:rPr>
          <w:rFonts w:ascii="Arial" w:eastAsia="Times New Roman" w:hAnsi="Arial" w:cs="Arial"/>
          <w:sz w:val="20"/>
          <w:szCs w:val="20"/>
        </w:rPr>
        <w:t>Considering</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budget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limitation</w:t>
      </w:r>
      <w:proofErr w:type="spellEnd"/>
      <w:r w:rsidRPr="002725ED">
        <w:rPr>
          <w:rFonts w:ascii="Arial" w:eastAsia="Times New Roman" w:hAnsi="Arial" w:cs="Arial"/>
          <w:sz w:val="20"/>
          <w:szCs w:val="20"/>
        </w:rPr>
        <w:t xml:space="preserve"> of local </w:t>
      </w:r>
      <w:proofErr w:type="spellStart"/>
      <w:r w:rsidRPr="002725ED">
        <w:rPr>
          <w:rFonts w:ascii="Arial" w:eastAsia="Times New Roman" w:hAnsi="Arial" w:cs="Arial"/>
          <w:sz w:val="20"/>
          <w:szCs w:val="20"/>
        </w:rPr>
        <w:t>governments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Contribution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for</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Public</w:t>
      </w:r>
      <w:proofErr w:type="spellEnd"/>
      <w:r w:rsidRPr="002725ED">
        <w:rPr>
          <w:rFonts w:ascii="Arial" w:eastAsia="Times New Roman" w:hAnsi="Arial" w:cs="Arial"/>
          <w:sz w:val="20"/>
          <w:szCs w:val="20"/>
        </w:rPr>
        <w:t xml:space="preserve"> Works </w:t>
      </w:r>
      <w:proofErr w:type="spellStart"/>
      <w:r w:rsidRPr="002725ED">
        <w:rPr>
          <w:rFonts w:ascii="Arial" w:eastAsia="Times New Roman" w:hAnsi="Arial" w:cs="Arial"/>
          <w:sz w:val="20"/>
          <w:szCs w:val="20"/>
        </w:rPr>
        <w:t>is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an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efficient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mechanism</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for</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development</w:t>
      </w:r>
      <w:proofErr w:type="spellEnd"/>
      <w:r w:rsidRPr="002725ED">
        <w:rPr>
          <w:rFonts w:ascii="Arial" w:eastAsia="Times New Roman" w:hAnsi="Arial" w:cs="Arial"/>
          <w:sz w:val="20"/>
          <w:szCs w:val="20"/>
        </w:rPr>
        <w:t xml:space="preserve"> and </w:t>
      </w:r>
      <w:proofErr w:type="spellStart"/>
      <w:r w:rsidRPr="002725ED">
        <w:rPr>
          <w:rFonts w:ascii="Arial" w:eastAsia="Times New Roman" w:hAnsi="Arial" w:cs="Arial"/>
          <w:sz w:val="20"/>
          <w:szCs w:val="20"/>
        </w:rPr>
        <w:t>expansion</w:t>
      </w:r>
      <w:proofErr w:type="spellEnd"/>
      <w:r w:rsidRPr="002725ED">
        <w:rPr>
          <w:rFonts w:ascii="Arial" w:eastAsia="Times New Roman" w:hAnsi="Arial" w:cs="Arial"/>
          <w:sz w:val="20"/>
          <w:szCs w:val="20"/>
        </w:rPr>
        <w:t xml:space="preserve"> of local </w:t>
      </w:r>
      <w:proofErr w:type="spellStart"/>
      <w:r w:rsidRPr="002725ED">
        <w:rPr>
          <w:rFonts w:ascii="Arial" w:eastAsia="Times New Roman" w:hAnsi="Arial" w:cs="Arial"/>
          <w:sz w:val="20"/>
          <w:szCs w:val="20"/>
        </w:rPr>
        <w:t>infrastructure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However</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by</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maintaining</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its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ma</w:t>
      </w:r>
      <w:r w:rsidRPr="002725ED">
        <w:rPr>
          <w:rFonts w:ascii="Arial" w:eastAsia="Times New Roman" w:hAnsi="Arial" w:cs="Arial"/>
          <w:sz w:val="20"/>
          <w:szCs w:val="20"/>
        </w:rPr>
        <w:t>ndatory</w:t>
      </w:r>
      <w:proofErr w:type="spellEnd"/>
      <w:r w:rsidRPr="002725ED">
        <w:rPr>
          <w:rFonts w:ascii="Arial" w:eastAsia="Times New Roman" w:hAnsi="Arial" w:cs="Arial"/>
          <w:sz w:val="20"/>
          <w:szCs w:val="20"/>
        </w:rPr>
        <w:t xml:space="preserve"> and </w:t>
      </w:r>
      <w:proofErr w:type="spellStart"/>
      <w:r w:rsidRPr="002725ED">
        <w:rPr>
          <w:rFonts w:ascii="Arial" w:eastAsia="Times New Roman" w:hAnsi="Arial" w:cs="Arial"/>
          <w:sz w:val="20"/>
          <w:szCs w:val="20"/>
        </w:rPr>
        <w:t>coercive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nature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Tax</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must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established</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by</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means</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an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Ordinance</w:t>
      </w:r>
      <w:proofErr w:type="spellEnd"/>
      <w:r w:rsidRPr="002725ED">
        <w:rPr>
          <w:rFonts w:ascii="Arial" w:eastAsia="Times New Roman" w:hAnsi="Arial" w:cs="Arial"/>
          <w:sz w:val="20"/>
          <w:szCs w:val="20"/>
        </w:rPr>
        <w:t xml:space="preserve"> and </w:t>
      </w:r>
      <w:proofErr w:type="spellStart"/>
      <w:r w:rsidRPr="002725ED">
        <w:rPr>
          <w:rFonts w:ascii="Arial" w:eastAsia="Times New Roman" w:hAnsi="Arial" w:cs="Arial"/>
          <w:sz w:val="20"/>
          <w:szCs w:val="20"/>
        </w:rPr>
        <w:t>regulated</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by</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means</w:t>
      </w:r>
      <w:proofErr w:type="spellEnd"/>
      <w:r w:rsidRPr="002725ED">
        <w:rPr>
          <w:rFonts w:ascii="Arial" w:eastAsia="Times New Roman" w:hAnsi="Arial" w:cs="Arial"/>
          <w:sz w:val="20"/>
          <w:szCs w:val="20"/>
        </w:rPr>
        <w:t xml:space="preserve"> of a </w:t>
      </w:r>
      <w:proofErr w:type="spellStart"/>
      <w:r w:rsidRPr="002725ED">
        <w:rPr>
          <w:rFonts w:ascii="Arial" w:eastAsia="Times New Roman" w:hAnsi="Arial" w:cs="Arial"/>
          <w:sz w:val="20"/>
          <w:szCs w:val="20"/>
        </w:rPr>
        <w:t>Mayor's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Decree</w:t>
      </w:r>
      <w:proofErr w:type="spellEnd"/>
      <w:r w:rsidRPr="002725ED">
        <w:rPr>
          <w:rFonts w:ascii="Arial" w:eastAsia="Times New Roman" w:hAnsi="Arial" w:cs="Arial"/>
          <w:sz w:val="20"/>
          <w:szCs w:val="20"/>
        </w:rPr>
        <w:t xml:space="preserve">, prior </w:t>
      </w:r>
      <w:proofErr w:type="spellStart"/>
      <w:r w:rsidRPr="002725ED">
        <w:rPr>
          <w:rFonts w:ascii="Arial" w:eastAsia="Times New Roman" w:hAnsi="Arial" w:cs="Arial"/>
          <w:sz w:val="20"/>
          <w:szCs w:val="20"/>
        </w:rPr>
        <w:t>publicity</w:t>
      </w:r>
      <w:proofErr w:type="spellEnd"/>
      <w:r w:rsidRPr="002725ED">
        <w:rPr>
          <w:rFonts w:ascii="Arial" w:eastAsia="Times New Roman" w:hAnsi="Arial" w:cs="Arial"/>
          <w:sz w:val="20"/>
          <w:szCs w:val="20"/>
        </w:rPr>
        <w:t xml:space="preserve"> and </w:t>
      </w:r>
      <w:proofErr w:type="spellStart"/>
      <w:r w:rsidRPr="002725ED">
        <w:rPr>
          <w:rFonts w:ascii="Arial" w:eastAsia="Times New Roman" w:hAnsi="Arial" w:cs="Arial"/>
          <w:sz w:val="20"/>
          <w:szCs w:val="20"/>
        </w:rPr>
        <w:t>knowledge</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district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population</w:t>
      </w:r>
      <w:proofErr w:type="spellEnd"/>
      <w:r w:rsidRPr="002725ED">
        <w:rPr>
          <w:rFonts w:ascii="Arial" w:eastAsia="Times New Roman" w:hAnsi="Arial" w:cs="Arial"/>
          <w:sz w:val="20"/>
          <w:szCs w:val="20"/>
        </w:rPr>
        <w:t>.</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proofErr w:type="spellStart"/>
      <w:r w:rsidRPr="002725ED">
        <w:rPr>
          <w:rFonts w:ascii="Arial" w:eastAsia="Times New Roman" w:hAnsi="Arial" w:cs="Arial"/>
          <w:sz w:val="20"/>
          <w:szCs w:val="20"/>
        </w:rPr>
        <w:t>Likewise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its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creation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due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to</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prior </w:t>
      </w:r>
      <w:proofErr w:type="spellStart"/>
      <w:r w:rsidRPr="002725ED">
        <w:rPr>
          <w:rFonts w:ascii="Arial" w:eastAsia="Times New Roman" w:hAnsi="Arial" w:cs="Arial"/>
          <w:sz w:val="20"/>
          <w:szCs w:val="20"/>
        </w:rPr>
        <w:t>support</w:t>
      </w:r>
      <w:proofErr w:type="spellEnd"/>
      <w:r w:rsidRPr="002725ED">
        <w:rPr>
          <w:rFonts w:ascii="Arial" w:eastAsia="Times New Roman" w:hAnsi="Arial" w:cs="Arial"/>
          <w:sz w:val="20"/>
          <w:szCs w:val="20"/>
        </w:rPr>
        <w:t xml:space="preserve"> and </w:t>
      </w:r>
      <w:proofErr w:type="spellStart"/>
      <w:r w:rsidRPr="002725ED">
        <w:rPr>
          <w:rFonts w:ascii="Arial" w:eastAsia="Times New Roman" w:hAnsi="Arial" w:cs="Arial"/>
          <w:sz w:val="20"/>
          <w:szCs w:val="20"/>
        </w:rPr>
        <w:t>compliance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with</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certain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technical</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requirements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such</w:t>
      </w:r>
      <w:proofErr w:type="spellEnd"/>
      <w:r w:rsidRPr="002725ED">
        <w:rPr>
          <w:rFonts w:ascii="Arial" w:eastAsia="Times New Roman" w:hAnsi="Arial" w:cs="Arial"/>
          <w:sz w:val="20"/>
          <w:szCs w:val="20"/>
        </w:rPr>
        <w:t xml:space="preserve"> as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publication</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approximate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value</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work</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determination</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increase</w:t>
      </w:r>
      <w:proofErr w:type="spellEnd"/>
      <w:r w:rsidRPr="002725ED">
        <w:rPr>
          <w:rFonts w:ascii="Arial" w:eastAsia="Times New Roman" w:hAnsi="Arial" w:cs="Arial"/>
          <w:sz w:val="20"/>
          <w:szCs w:val="20"/>
        </w:rPr>
        <w:t xml:space="preserve"> in </w:t>
      </w:r>
      <w:proofErr w:type="spellStart"/>
      <w:r w:rsidRPr="002725ED">
        <w:rPr>
          <w:rFonts w:ascii="Arial" w:eastAsia="Times New Roman" w:hAnsi="Arial" w:cs="Arial"/>
          <w:sz w:val="20"/>
          <w:szCs w:val="20"/>
        </w:rPr>
        <w:t>value</w:t>
      </w:r>
      <w:proofErr w:type="spellEnd"/>
      <w:r w:rsidRPr="002725ED">
        <w:rPr>
          <w:rFonts w:ascii="Arial" w:eastAsia="Times New Roman" w:hAnsi="Arial" w:cs="Arial"/>
          <w:sz w:val="20"/>
          <w:szCs w:val="20"/>
        </w:rPr>
        <w:t xml:space="preserve"> of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properties</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within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benefit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zone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Public</w:t>
      </w:r>
      <w:proofErr w:type="spellEnd"/>
      <w:r w:rsidRPr="002725ED">
        <w:rPr>
          <w:rFonts w:ascii="Arial" w:eastAsia="Times New Roman" w:hAnsi="Arial" w:cs="Arial"/>
          <w:sz w:val="20"/>
          <w:szCs w:val="20"/>
        </w:rPr>
        <w:t xml:space="preserve"> Works) and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participation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neighborhood</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citizen</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Passive</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Subject</w:t>
      </w:r>
      <w:proofErr w:type="spellEnd"/>
      <w:r w:rsidRPr="002725ED">
        <w:rPr>
          <w:rFonts w:ascii="Arial" w:eastAsia="Times New Roman" w:hAnsi="Arial" w:cs="Arial"/>
          <w:sz w:val="20"/>
          <w:szCs w:val="20"/>
        </w:rPr>
        <w:t xml:space="preserve"> o</w:t>
      </w:r>
      <w:r w:rsidRPr="002725ED">
        <w:rPr>
          <w:rFonts w:ascii="Arial" w:eastAsia="Times New Roman" w:hAnsi="Arial" w:cs="Arial"/>
          <w:sz w:val="20"/>
          <w:szCs w:val="20"/>
        </w:rPr>
        <w:t xml:space="preserve">f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Tribute), </w:t>
      </w:r>
      <w:proofErr w:type="spellStart"/>
      <w:r w:rsidRPr="002725ED">
        <w:rPr>
          <w:rFonts w:ascii="Arial" w:eastAsia="Times New Roman" w:hAnsi="Arial" w:cs="Arial"/>
          <w:sz w:val="20"/>
          <w:szCs w:val="20"/>
        </w:rPr>
        <w:t>who</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will</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benefit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directly</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from</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the</w:t>
      </w:r>
      <w:proofErr w:type="spellEnd"/>
      <w:r w:rsidRPr="002725ED">
        <w:rPr>
          <w:rFonts w:ascii="Arial" w:eastAsia="Times New Roman" w:hAnsi="Arial" w:cs="Arial"/>
          <w:sz w:val="20"/>
          <w:szCs w:val="20"/>
        </w:rPr>
        <w:t xml:space="preserve"> municipal </w:t>
      </w:r>
      <w:proofErr w:type="spellStart"/>
      <w:r w:rsidRPr="002725ED">
        <w:rPr>
          <w:rFonts w:ascii="Arial" w:eastAsia="Times New Roman" w:hAnsi="Arial" w:cs="Arial"/>
          <w:sz w:val="20"/>
          <w:szCs w:val="20"/>
        </w:rPr>
        <w:t>work</w:t>
      </w:r>
      <w:proofErr w:type="spellEnd"/>
      <w:r w:rsidRPr="002725ED">
        <w:rPr>
          <w:rFonts w:ascii="Arial" w:eastAsia="Times New Roman" w:hAnsi="Arial" w:cs="Arial"/>
          <w:sz w:val="20"/>
          <w:szCs w:val="20"/>
        </w:rPr>
        <w:t>.</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b/>
          <w:sz w:val="20"/>
          <w:szCs w:val="20"/>
        </w:rPr>
      </w:pPr>
      <w:r w:rsidRPr="002725ED">
        <w:rPr>
          <w:rFonts w:ascii="Arial" w:eastAsia="Times New Roman" w:hAnsi="Arial" w:cs="Arial"/>
          <w:b/>
          <w:sz w:val="20"/>
          <w:szCs w:val="20"/>
          <w:u w:val="single"/>
        </w:rPr>
        <w:t>PALABRAS CLAVES</w:t>
      </w:r>
      <w:r w:rsidRPr="002725ED">
        <w:rPr>
          <w:rFonts w:ascii="Arial" w:eastAsia="Times New Roman" w:hAnsi="Arial" w:cs="Arial"/>
          <w:b/>
          <w:sz w:val="20"/>
          <w:szCs w:val="20"/>
        </w:rPr>
        <w:t>:</w:t>
      </w: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lastRenderedPageBreak/>
        <w:t>Tributo / Contribución / Contribución Especial / Obra Pública / Beneficio/ Zona de Beneficio</w:t>
      </w:r>
    </w:p>
    <w:p w:rsidR="00D22415" w:rsidRPr="002725ED" w:rsidRDefault="00D22415">
      <w:pPr>
        <w:pStyle w:val="normal0"/>
        <w:spacing w:after="0" w:line="360" w:lineRule="auto"/>
        <w:ind w:left="567"/>
        <w:jc w:val="both"/>
        <w:rPr>
          <w:rFonts w:ascii="Arial" w:eastAsia="Times New Roman" w:hAnsi="Arial" w:cs="Arial"/>
          <w:b/>
          <w:sz w:val="20"/>
          <w:szCs w:val="20"/>
        </w:rPr>
      </w:pPr>
    </w:p>
    <w:p w:rsidR="00D22415" w:rsidRPr="002725ED" w:rsidRDefault="006F075D">
      <w:pPr>
        <w:pStyle w:val="normal0"/>
        <w:spacing w:after="0" w:line="360" w:lineRule="auto"/>
        <w:jc w:val="both"/>
        <w:rPr>
          <w:rFonts w:ascii="Arial" w:eastAsia="Times New Roman" w:hAnsi="Arial" w:cs="Arial"/>
          <w:b/>
          <w:sz w:val="20"/>
          <w:szCs w:val="20"/>
        </w:rPr>
      </w:pPr>
      <w:r w:rsidRPr="002725ED">
        <w:rPr>
          <w:rFonts w:ascii="Arial" w:eastAsia="Times New Roman" w:hAnsi="Arial" w:cs="Arial"/>
          <w:b/>
          <w:sz w:val="20"/>
          <w:szCs w:val="20"/>
          <w:u w:val="single"/>
        </w:rPr>
        <w:t>KEY WORDS</w:t>
      </w:r>
      <w:r w:rsidRPr="002725ED">
        <w:rPr>
          <w:rFonts w:ascii="Arial" w:eastAsia="Times New Roman" w:hAnsi="Arial" w:cs="Arial"/>
          <w:b/>
          <w:sz w:val="20"/>
          <w:szCs w:val="20"/>
        </w:rPr>
        <w:t>:</w:t>
      </w: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 xml:space="preserve">Tribute / </w:t>
      </w:r>
      <w:proofErr w:type="spellStart"/>
      <w:r w:rsidRPr="002725ED">
        <w:rPr>
          <w:rFonts w:ascii="Arial" w:eastAsia="Times New Roman" w:hAnsi="Arial" w:cs="Arial"/>
          <w:sz w:val="20"/>
          <w:szCs w:val="20"/>
        </w:rPr>
        <w:t>Contribution</w:t>
      </w:r>
      <w:proofErr w:type="spellEnd"/>
      <w:r w:rsidRPr="002725ED">
        <w:rPr>
          <w:rFonts w:ascii="Arial" w:eastAsia="Times New Roman" w:hAnsi="Arial" w:cs="Arial"/>
          <w:sz w:val="20"/>
          <w:szCs w:val="20"/>
        </w:rPr>
        <w:t xml:space="preserve"> / </w:t>
      </w:r>
      <w:proofErr w:type="spellStart"/>
      <w:r w:rsidRPr="002725ED">
        <w:rPr>
          <w:rFonts w:ascii="Arial" w:eastAsia="Times New Roman" w:hAnsi="Arial" w:cs="Arial"/>
          <w:sz w:val="20"/>
          <w:szCs w:val="20"/>
        </w:rPr>
        <w:t>Special</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Contribution</w:t>
      </w:r>
      <w:proofErr w:type="spellEnd"/>
      <w:r w:rsidRPr="002725ED">
        <w:rPr>
          <w:rFonts w:ascii="Arial" w:eastAsia="Times New Roman" w:hAnsi="Arial" w:cs="Arial"/>
          <w:sz w:val="20"/>
          <w:szCs w:val="20"/>
        </w:rPr>
        <w:t xml:space="preserve"> / </w:t>
      </w:r>
      <w:proofErr w:type="spellStart"/>
      <w:r w:rsidRPr="002725ED">
        <w:rPr>
          <w:rFonts w:ascii="Arial" w:eastAsia="Times New Roman" w:hAnsi="Arial" w:cs="Arial"/>
          <w:sz w:val="20"/>
          <w:szCs w:val="20"/>
        </w:rPr>
        <w:t>Public</w:t>
      </w:r>
      <w:proofErr w:type="spellEnd"/>
      <w:r w:rsidRPr="002725ED">
        <w:rPr>
          <w:rFonts w:ascii="Arial" w:eastAsia="Times New Roman" w:hAnsi="Arial" w:cs="Arial"/>
          <w:sz w:val="20"/>
          <w:szCs w:val="20"/>
        </w:rPr>
        <w:t xml:space="preserve"> Works / </w:t>
      </w:r>
      <w:proofErr w:type="spellStart"/>
      <w:r w:rsidRPr="002725ED">
        <w:rPr>
          <w:rFonts w:ascii="Arial" w:eastAsia="Times New Roman" w:hAnsi="Arial" w:cs="Arial"/>
          <w:sz w:val="20"/>
          <w:szCs w:val="20"/>
        </w:rPr>
        <w:t>Ben</w:t>
      </w:r>
      <w:r w:rsidRPr="002725ED">
        <w:rPr>
          <w:rFonts w:ascii="Arial" w:eastAsia="Times New Roman" w:hAnsi="Arial" w:cs="Arial"/>
          <w:sz w:val="20"/>
          <w:szCs w:val="20"/>
        </w:rPr>
        <w:t>efit</w:t>
      </w:r>
      <w:proofErr w:type="spellEnd"/>
      <w:r w:rsidRPr="002725ED">
        <w:rPr>
          <w:rFonts w:ascii="Arial" w:eastAsia="Times New Roman" w:hAnsi="Arial" w:cs="Arial"/>
          <w:sz w:val="20"/>
          <w:szCs w:val="20"/>
        </w:rPr>
        <w:t xml:space="preserve"> / </w:t>
      </w:r>
      <w:proofErr w:type="spellStart"/>
      <w:r w:rsidRPr="002725ED">
        <w:rPr>
          <w:rFonts w:ascii="Arial" w:eastAsia="Times New Roman" w:hAnsi="Arial" w:cs="Arial"/>
          <w:sz w:val="20"/>
          <w:szCs w:val="20"/>
        </w:rPr>
        <w:t>Benefit</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Area</w:t>
      </w:r>
      <w:proofErr w:type="spellEnd"/>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numPr>
          <w:ilvl w:val="0"/>
          <w:numId w:val="2"/>
        </w:numPr>
        <w:pBdr>
          <w:top w:val="nil"/>
          <w:left w:val="nil"/>
          <w:bottom w:val="nil"/>
          <w:right w:val="nil"/>
          <w:between w:val="nil"/>
        </w:pBdr>
        <w:spacing w:line="276" w:lineRule="auto"/>
        <w:rPr>
          <w:rFonts w:ascii="Arial" w:hAnsi="Arial" w:cs="Arial"/>
          <w:color w:val="000000"/>
          <w:sz w:val="20"/>
          <w:szCs w:val="20"/>
        </w:rPr>
      </w:pPr>
      <w:r w:rsidRPr="002725ED">
        <w:rPr>
          <w:rFonts w:ascii="Arial" w:eastAsia="Times New Roman" w:hAnsi="Arial" w:cs="Arial"/>
          <w:b/>
          <w:color w:val="000000"/>
          <w:sz w:val="20"/>
          <w:szCs w:val="20"/>
          <w:u w:val="single"/>
        </w:rPr>
        <w:t>INTRODUCCIÓN</w:t>
      </w:r>
      <w:r w:rsidRPr="002725ED">
        <w:rPr>
          <w:rFonts w:ascii="Arial" w:eastAsia="Times New Roman" w:hAnsi="Arial" w:cs="Arial"/>
          <w:b/>
          <w:color w:val="000000"/>
          <w:sz w:val="20"/>
          <w:szCs w:val="20"/>
        </w:rPr>
        <w:t xml:space="preserve">: </w:t>
      </w: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 xml:space="preserve">Fluye del Código Tributario, una taxonomía </w:t>
      </w:r>
      <w:proofErr w:type="spellStart"/>
      <w:r w:rsidRPr="002725ED">
        <w:rPr>
          <w:rFonts w:ascii="Arial" w:eastAsia="Times New Roman" w:hAnsi="Arial" w:cs="Arial"/>
          <w:sz w:val="20"/>
          <w:szCs w:val="20"/>
        </w:rPr>
        <w:t>triptica</w:t>
      </w:r>
      <w:proofErr w:type="spellEnd"/>
      <w:r w:rsidRPr="002725ED">
        <w:rPr>
          <w:rFonts w:ascii="Arial" w:eastAsia="Times New Roman" w:hAnsi="Arial" w:cs="Arial"/>
          <w:sz w:val="20"/>
          <w:szCs w:val="20"/>
        </w:rPr>
        <w:t xml:space="preserve"> del tributo en: Impuesto, Contribución y Tasa; En tal sentido, su literal b) de la Norma II (Título Preliminar), textualmente reza: </w:t>
      </w:r>
      <w:r w:rsidRPr="002725ED">
        <w:rPr>
          <w:rFonts w:ascii="Arial" w:eastAsia="Times New Roman" w:hAnsi="Arial" w:cs="Arial"/>
          <w:i/>
          <w:sz w:val="20"/>
          <w:szCs w:val="20"/>
        </w:rPr>
        <w:t xml:space="preserve">“Contribución: Es el tributo cuya obligación tiene como hecho generador beneficios derivados de la realización de obras públicas o de actividades estatales”. </w:t>
      </w:r>
      <w:r w:rsidRPr="002725ED">
        <w:rPr>
          <w:rFonts w:ascii="Arial" w:eastAsia="Times New Roman" w:hAnsi="Arial" w:cs="Arial"/>
          <w:sz w:val="20"/>
          <w:szCs w:val="20"/>
        </w:rPr>
        <w:t>Así mismo, el segundo párrafo del artículo 74 de nuestra Constitución textualmente reza: “</w:t>
      </w:r>
      <w:r w:rsidRPr="002725ED">
        <w:rPr>
          <w:rFonts w:ascii="Arial" w:eastAsia="Times New Roman" w:hAnsi="Arial" w:cs="Arial"/>
          <w:i/>
          <w:sz w:val="20"/>
          <w:szCs w:val="20"/>
        </w:rPr>
        <w:t>Los gobi</w:t>
      </w:r>
      <w:r w:rsidRPr="002725ED">
        <w:rPr>
          <w:rFonts w:ascii="Arial" w:eastAsia="Times New Roman" w:hAnsi="Arial" w:cs="Arial"/>
          <w:i/>
          <w:sz w:val="20"/>
          <w:szCs w:val="20"/>
        </w:rPr>
        <w:t xml:space="preserve">ernos locales pueden crear, modificar y suprimir contribuciones y tasas, o exonerar de éstas, dentro de su jurisdicción y con los límites que señala la ley”. </w:t>
      </w:r>
    </w:p>
    <w:p w:rsidR="00D22415" w:rsidRPr="002725ED" w:rsidRDefault="00D22415">
      <w:pPr>
        <w:pStyle w:val="normal0"/>
        <w:spacing w:after="0" w:line="360" w:lineRule="auto"/>
        <w:jc w:val="both"/>
        <w:rPr>
          <w:rFonts w:ascii="Arial" w:eastAsia="Times New Roman" w:hAnsi="Arial" w:cs="Arial"/>
          <w:i/>
          <w:sz w:val="20"/>
          <w:szCs w:val="20"/>
        </w:rPr>
      </w:pPr>
    </w:p>
    <w:p w:rsidR="00D22415" w:rsidRPr="002725ED" w:rsidRDefault="006F075D">
      <w:pPr>
        <w:pStyle w:val="normal0"/>
        <w:spacing w:after="0" w:line="360" w:lineRule="auto"/>
        <w:jc w:val="both"/>
        <w:rPr>
          <w:rFonts w:ascii="Arial" w:eastAsia="Times New Roman" w:hAnsi="Arial" w:cs="Arial"/>
          <w:i/>
          <w:sz w:val="20"/>
          <w:szCs w:val="20"/>
        </w:rPr>
      </w:pPr>
      <w:r w:rsidRPr="002725ED">
        <w:rPr>
          <w:rFonts w:ascii="Arial" w:eastAsia="Times New Roman" w:hAnsi="Arial" w:cs="Arial"/>
          <w:sz w:val="20"/>
          <w:szCs w:val="20"/>
        </w:rPr>
        <w:t>Así mismo, deviene importante precisar, la existencia de contribuciones fiscales (Tributos), cre</w:t>
      </w:r>
      <w:r w:rsidRPr="002725ED">
        <w:rPr>
          <w:rFonts w:ascii="Arial" w:eastAsia="Times New Roman" w:hAnsi="Arial" w:cs="Arial"/>
          <w:sz w:val="20"/>
          <w:szCs w:val="20"/>
        </w:rPr>
        <w:t>adas y recaudadas por la Administración Tributaria Municipal y Regional; Y contribuciones parafiscales (Aportaciones), creadas mediante ley y recaudadas por la Administración Tributaria Central (SUNAT); En tal sentido, la Norma II del Título Preliminar del</w:t>
      </w:r>
      <w:r w:rsidRPr="002725ED">
        <w:rPr>
          <w:rFonts w:ascii="Arial" w:eastAsia="Times New Roman" w:hAnsi="Arial" w:cs="Arial"/>
          <w:sz w:val="20"/>
          <w:szCs w:val="20"/>
        </w:rPr>
        <w:t xml:space="preserve"> Código Tributario, a la letra dice: </w:t>
      </w:r>
      <w:r w:rsidRPr="002725ED">
        <w:rPr>
          <w:rFonts w:ascii="Arial" w:eastAsia="Times New Roman" w:hAnsi="Arial" w:cs="Arial"/>
          <w:i/>
          <w:sz w:val="20"/>
          <w:szCs w:val="20"/>
        </w:rPr>
        <w:t>"Las aportaciones al Seguro Social de Salud - ESSALUD y a la Oficina de Normalización Previsional - ONP se rigen por las normas de este Código, salvo en aquellos aspectos que por su naturaleza requieran normas especiale</w:t>
      </w:r>
      <w:r w:rsidRPr="002725ED">
        <w:rPr>
          <w:rFonts w:ascii="Arial" w:eastAsia="Times New Roman" w:hAnsi="Arial" w:cs="Arial"/>
          <w:i/>
          <w:sz w:val="20"/>
          <w:szCs w:val="20"/>
        </w:rPr>
        <w:t>s, los mismos que serán señalados por Decreto Supremo.”</w:t>
      </w:r>
    </w:p>
    <w:p w:rsidR="00D22415" w:rsidRPr="002725ED" w:rsidRDefault="00D22415">
      <w:pPr>
        <w:pStyle w:val="normal0"/>
        <w:spacing w:after="0" w:line="360" w:lineRule="auto"/>
        <w:jc w:val="both"/>
        <w:rPr>
          <w:rFonts w:ascii="Arial" w:eastAsia="Times New Roman" w:hAnsi="Arial" w:cs="Arial"/>
          <w:i/>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Por lo expuesto, resulta frecuente, el termino contribución desde el punto de parafiscal, con marcada finalidad social y previsional; Limitándose en la práctica, el uso fiscal de la contribución, ent</w:t>
      </w:r>
      <w:r w:rsidRPr="002725ED">
        <w:rPr>
          <w:rFonts w:ascii="Arial" w:eastAsia="Times New Roman" w:hAnsi="Arial" w:cs="Arial"/>
          <w:sz w:val="20"/>
          <w:szCs w:val="20"/>
        </w:rPr>
        <w:t xml:space="preserve">iéndase, herramienta jurídico tributaria por excelencia municipal, para el desarrollo de la infraestructura local (Obras Públicas). </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A continuación, realizaremos un estudio sumario de la Contribución Especial por Obras Públicas, a luz de la doctrina inter</w:t>
      </w:r>
      <w:r w:rsidRPr="002725ED">
        <w:rPr>
          <w:rFonts w:ascii="Arial" w:eastAsia="Times New Roman" w:hAnsi="Arial" w:cs="Arial"/>
          <w:sz w:val="20"/>
          <w:szCs w:val="20"/>
        </w:rPr>
        <w:t xml:space="preserve">nacional, base legal, finalidad, recaudación, fiscalización y condiciones jurídico técnicas para la creación y aprobación de esta modalidad de tributo. </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D22415">
      <w:pPr>
        <w:pStyle w:val="normal0"/>
        <w:spacing w:after="0" w:line="276" w:lineRule="auto"/>
        <w:jc w:val="both"/>
        <w:rPr>
          <w:rFonts w:ascii="Arial" w:eastAsia="Times New Roman" w:hAnsi="Arial" w:cs="Arial"/>
          <w:sz w:val="20"/>
          <w:szCs w:val="20"/>
        </w:rPr>
      </w:pPr>
    </w:p>
    <w:p w:rsidR="00D22415" w:rsidRPr="002725ED" w:rsidRDefault="006F075D">
      <w:pPr>
        <w:pStyle w:val="normal0"/>
        <w:numPr>
          <w:ilvl w:val="0"/>
          <w:numId w:val="2"/>
        </w:numPr>
        <w:pBdr>
          <w:top w:val="nil"/>
          <w:left w:val="nil"/>
          <w:bottom w:val="nil"/>
          <w:right w:val="nil"/>
          <w:between w:val="nil"/>
        </w:pBdr>
        <w:spacing w:after="0" w:line="276" w:lineRule="auto"/>
        <w:jc w:val="both"/>
        <w:rPr>
          <w:rFonts w:ascii="Arial" w:hAnsi="Arial" w:cs="Arial"/>
          <w:color w:val="000000"/>
          <w:sz w:val="20"/>
          <w:szCs w:val="20"/>
        </w:rPr>
      </w:pPr>
      <w:r w:rsidRPr="002725ED">
        <w:rPr>
          <w:rFonts w:ascii="Arial" w:eastAsia="Times New Roman" w:hAnsi="Arial" w:cs="Arial"/>
          <w:b/>
          <w:color w:val="000000"/>
          <w:sz w:val="20"/>
          <w:szCs w:val="20"/>
          <w:u w:val="single"/>
        </w:rPr>
        <w:t>LA CONTRIBUCIÓN FISCAL Y PARAFISCAL</w:t>
      </w:r>
      <w:r w:rsidRPr="002725ED">
        <w:rPr>
          <w:rFonts w:ascii="Arial" w:eastAsia="Times New Roman" w:hAnsi="Arial" w:cs="Arial"/>
          <w:b/>
          <w:color w:val="000000"/>
          <w:sz w:val="20"/>
          <w:szCs w:val="20"/>
        </w:rPr>
        <w:t xml:space="preserve">: </w:t>
      </w:r>
    </w:p>
    <w:p w:rsidR="00D22415" w:rsidRPr="002725ED" w:rsidRDefault="00D22415">
      <w:pPr>
        <w:pStyle w:val="normal0"/>
        <w:shd w:val="clear" w:color="auto" w:fill="FFFFFF"/>
        <w:spacing w:after="0" w:line="360" w:lineRule="auto"/>
        <w:jc w:val="both"/>
        <w:rPr>
          <w:rFonts w:ascii="Arial" w:eastAsia="Times New Roman" w:hAnsi="Arial" w:cs="Arial"/>
          <w:b/>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 xml:space="preserve">La contribución, es definida con mayor acierto, por parte de la doctrina, como "Contribuciones Especiales"; Al respecto, José María Martín Delgado, citando a Pugliese, Tesoro Ahumada, </w:t>
      </w:r>
      <w:proofErr w:type="spellStart"/>
      <w:r w:rsidRPr="002725ED">
        <w:rPr>
          <w:rFonts w:ascii="Arial" w:eastAsia="Times New Roman" w:hAnsi="Arial" w:cs="Arial"/>
          <w:color w:val="000000"/>
          <w:sz w:val="20"/>
          <w:szCs w:val="20"/>
        </w:rPr>
        <w:t>Fonrouge</w:t>
      </w:r>
      <w:proofErr w:type="spellEnd"/>
      <w:r w:rsidRPr="002725ED">
        <w:rPr>
          <w:rFonts w:ascii="Arial" w:eastAsia="Times New Roman" w:hAnsi="Arial" w:cs="Arial"/>
          <w:color w:val="000000"/>
          <w:sz w:val="20"/>
          <w:szCs w:val="20"/>
        </w:rPr>
        <w:t>, etc., precisa que esta terminología es lo suficientemente ampl</w:t>
      </w:r>
      <w:r w:rsidRPr="002725ED">
        <w:rPr>
          <w:rFonts w:ascii="Arial" w:eastAsia="Times New Roman" w:hAnsi="Arial" w:cs="Arial"/>
          <w:color w:val="000000"/>
          <w:sz w:val="20"/>
          <w:szCs w:val="20"/>
        </w:rPr>
        <w:t xml:space="preserve">ia para comprender el número de modernas contribuciones destinadas a fines sociales y económicos, las cuales conocidas comúnmente con nombres tan diversos como derechos, </w:t>
      </w:r>
      <w:r w:rsidRPr="002725ED">
        <w:rPr>
          <w:rFonts w:ascii="Arial" w:eastAsia="Times New Roman" w:hAnsi="Arial" w:cs="Arial"/>
          <w:color w:val="000000"/>
          <w:sz w:val="20"/>
          <w:szCs w:val="20"/>
        </w:rPr>
        <w:lastRenderedPageBreak/>
        <w:t>cuotas, aportes, etc. Así mismo, aclara, que  en doctrina han sido agrupadas con la de</w:t>
      </w:r>
      <w:r w:rsidRPr="002725ED">
        <w:rPr>
          <w:rFonts w:ascii="Arial" w:eastAsia="Times New Roman" w:hAnsi="Arial" w:cs="Arial"/>
          <w:color w:val="000000"/>
          <w:sz w:val="20"/>
          <w:szCs w:val="20"/>
        </w:rPr>
        <w:t>nominación de contribuciones parafiscales</w:t>
      </w:r>
      <w:r w:rsidRPr="002725ED">
        <w:rPr>
          <w:rFonts w:ascii="Arial" w:eastAsia="Times New Roman" w:hAnsi="Arial" w:cs="Arial"/>
          <w:color w:val="000000"/>
          <w:sz w:val="20"/>
          <w:szCs w:val="20"/>
          <w:vertAlign w:val="superscript"/>
        </w:rPr>
        <w:footnoteReference w:id="1"/>
      </w:r>
      <w:r w:rsidRPr="002725ED">
        <w:rPr>
          <w:rFonts w:ascii="Arial" w:eastAsia="Times New Roman" w:hAnsi="Arial" w:cs="Arial"/>
          <w:color w:val="000000"/>
          <w:sz w:val="20"/>
          <w:szCs w:val="20"/>
        </w:rPr>
        <w:t xml:space="preserve">. </w:t>
      </w:r>
    </w:p>
    <w:p w:rsidR="00D22415" w:rsidRPr="002725ED" w:rsidRDefault="00D22415">
      <w:pPr>
        <w:pStyle w:val="normal0"/>
        <w:shd w:val="clear" w:color="auto" w:fill="FFFFFF"/>
        <w:spacing w:after="0" w:line="360" w:lineRule="auto"/>
        <w:jc w:val="both"/>
        <w:rPr>
          <w:rFonts w:ascii="Arial" w:eastAsia="Times New Roman" w:hAnsi="Arial" w:cs="Arial"/>
          <w:color w:val="000000"/>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Según Héctor Villegas, las contribuciones especiales son los tributos debidos en razón de beneficios individuales o de grupos sociales derivados de la realización de obras o gastos públicos o de especiales actividades de Estado.</w:t>
      </w:r>
      <w:r w:rsidRPr="002725ED">
        <w:rPr>
          <w:rFonts w:ascii="Arial" w:eastAsia="Times New Roman" w:hAnsi="Arial" w:cs="Arial"/>
          <w:color w:val="000000"/>
          <w:sz w:val="20"/>
          <w:szCs w:val="20"/>
          <w:vertAlign w:val="superscript"/>
        </w:rPr>
        <w:footnoteReference w:id="2"/>
      </w:r>
      <w:r w:rsidRPr="002725ED">
        <w:rPr>
          <w:rFonts w:ascii="Arial" w:eastAsia="Times New Roman" w:hAnsi="Arial" w:cs="Arial"/>
          <w:color w:val="000000"/>
          <w:sz w:val="20"/>
          <w:szCs w:val="20"/>
        </w:rPr>
        <w:t xml:space="preserve"> Así mismo, según </w:t>
      </w:r>
      <w:proofErr w:type="spellStart"/>
      <w:r w:rsidRPr="002725ED">
        <w:rPr>
          <w:rFonts w:ascii="Arial" w:eastAsia="Times New Roman" w:hAnsi="Arial" w:cs="Arial"/>
          <w:color w:val="000000"/>
          <w:sz w:val="20"/>
          <w:szCs w:val="20"/>
        </w:rPr>
        <w:t>Giuliani</w:t>
      </w:r>
      <w:proofErr w:type="spellEnd"/>
      <w:r w:rsidRPr="002725ED">
        <w:rPr>
          <w:rFonts w:ascii="Arial" w:eastAsia="Times New Roman" w:hAnsi="Arial" w:cs="Arial"/>
          <w:color w:val="000000"/>
          <w:sz w:val="20"/>
          <w:szCs w:val="20"/>
        </w:rPr>
        <w:t xml:space="preserve"> </w:t>
      </w:r>
      <w:proofErr w:type="spellStart"/>
      <w:r w:rsidRPr="002725ED">
        <w:rPr>
          <w:rFonts w:ascii="Arial" w:eastAsia="Times New Roman" w:hAnsi="Arial" w:cs="Arial"/>
          <w:color w:val="000000"/>
          <w:sz w:val="20"/>
          <w:szCs w:val="20"/>
        </w:rPr>
        <w:t>Fonrouge</w:t>
      </w:r>
      <w:proofErr w:type="spellEnd"/>
      <w:r w:rsidRPr="002725ED">
        <w:rPr>
          <w:rFonts w:ascii="Arial" w:eastAsia="Times New Roman" w:hAnsi="Arial" w:cs="Arial"/>
          <w:color w:val="000000"/>
          <w:sz w:val="20"/>
          <w:szCs w:val="20"/>
        </w:rPr>
        <w:t>,  la contribución especial es la prestación obligatoria debida en razón de beneficios individuales o de grupos sociales, derivados de la realización de obras públicas o de actividades especiales del Estado</w:t>
      </w:r>
      <w:r w:rsidRPr="002725ED">
        <w:rPr>
          <w:rFonts w:ascii="Arial" w:eastAsia="Times New Roman" w:hAnsi="Arial" w:cs="Arial"/>
          <w:color w:val="000000"/>
          <w:sz w:val="20"/>
          <w:szCs w:val="20"/>
          <w:vertAlign w:val="superscript"/>
        </w:rPr>
        <w:footnoteReference w:id="3"/>
      </w:r>
      <w:r w:rsidRPr="002725ED">
        <w:rPr>
          <w:rFonts w:ascii="Arial" w:eastAsia="Times New Roman" w:hAnsi="Arial" w:cs="Arial"/>
          <w:color w:val="000000"/>
          <w:sz w:val="20"/>
          <w:szCs w:val="20"/>
        </w:rPr>
        <w:t xml:space="preserve">. </w:t>
      </w:r>
    </w:p>
    <w:p w:rsidR="00D22415" w:rsidRPr="002725ED" w:rsidRDefault="00D22415">
      <w:pPr>
        <w:pStyle w:val="normal0"/>
        <w:shd w:val="clear" w:color="auto" w:fill="FFFFFF"/>
        <w:spacing w:after="0" w:line="360" w:lineRule="auto"/>
        <w:jc w:val="both"/>
        <w:rPr>
          <w:rFonts w:ascii="Arial" w:eastAsia="Times New Roman" w:hAnsi="Arial" w:cs="Arial"/>
          <w:color w:val="000000"/>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Por su parte, el artículo 12 del Mode</w:t>
      </w:r>
      <w:r w:rsidRPr="002725ED">
        <w:rPr>
          <w:rFonts w:ascii="Arial" w:eastAsia="Times New Roman" w:hAnsi="Arial" w:cs="Arial"/>
          <w:color w:val="000000"/>
          <w:sz w:val="20"/>
          <w:szCs w:val="20"/>
        </w:rPr>
        <w:t>lo de Código Tributario para América Latina conceptúa como contribución especial al "tributo cuya obligación tiene como hecho generador beneficios derivados de la realización de obras públicas o de actividades estatales y cuyo producto no debe tener un des</w:t>
      </w:r>
      <w:r w:rsidRPr="002725ED">
        <w:rPr>
          <w:rFonts w:ascii="Arial" w:eastAsia="Times New Roman" w:hAnsi="Arial" w:cs="Arial"/>
          <w:color w:val="000000"/>
          <w:sz w:val="20"/>
          <w:szCs w:val="20"/>
        </w:rPr>
        <w:t>tino ajeno a la financiación de las obras o las actividades que contribuyen al presupuesto de la obligación</w:t>
      </w:r>
      <w:r w:rsidRPr="002725ED">
        <w:rPr>
          <w:rFonts w:ascii="Arial" w:eastAsia="Times New Roman" w:hAnsi="Arial" w:cs="Arial"/>
          <w:color w:val="000000"/>
          <w:sz w:val="20"/>
          <w:szCs w:val="20"/>
          <w:vertAlign w:val="superscript"/>
        </w:rPr>
        <w:footnoteReference w:id="4"/>
      </w:r>
      <w:r w:rsidRPr="002725ED">
        <w:rPr>
          <w:rFonts w:ascii="Arial" w:eastAsia="Times New Roman" w:hAnsi="Arial" w:cs="Arial"/>
          <w:color w:val="000000"/>
          <w:sz w:val="20"/>
          <w:szCs w:val="20"/>
        </w:rPr>
        <w:t xml:space="preserve">. </w:t>
      </w:r>
    </w:p>
    <w:p w:rsidR="00D22415" w:rsidRPr="002725ED" w:rsidRDefault="00D22415">
      <w:pPr>
        <w:pStyle w:val="normal0"/>
        <w:shd w:val="clear" w:color="auto" w:fill="FFFFFF"/>
        <w:spacing w:after="0" w:line="360" w:lineRule="auto"/>
        <w:jc w:val="both"/>
        <w:rPr>
          <w:rFonts w:ascii="Arial" w:eastAsia="Times New Roman" w:hAnsi="Arial" w:cs="Arial"/>
          <w:color w:val="000000"/>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Así mismo, la doctrina ha desarrollado la Contribución de Mejoras y las Contribuciones Parafiscales, entre las contribuciones más importantes. E</w:t>
      </w:r>
      <w:r w:rsidRPr="002725ED">
        <w:rPr>
          <w:rFonts w:ascii="Arial" w:eastAsia="Times New Roman" w:hAnsi="Arial" w:cs="Arial"/>
          <w:color w:val="000000"/>
          <w:sz w:val="20"/>
          <w:szCs w:val="20"/>
        </w:rPr>
        <w:t xml:space="preserve">n la Contribución de Mejoras, se resalta el "principio de beneficio" a favor del contribuyente, como elemento </w:t>
      </w:r>
      <w:proofErr w:type="spellStart"/>
      <w:r w:rsidRPr="002725ED">
        <w:rPr>
          <w:rFonts w:ascii="Arial" w:eastAsia="Times New Roman" w:hAnsi="Arial" w:cs="Arial"/>
          <w:color w:val="000000"/>
          <w:sz w:val="20"/>
          <w:szCs w:val="20"/>
        </w:rPr>
        <w:t>calificante</w:t>
      </w:r>
      <w:proofErr w:type="spellEnd"/>
      <w:r w:rsidRPr="002725ED">
        <w:rPr>
          <w:rFonts w:ascii="Arial" w:eastAsia="Times New Roman" w:hAnsi="Arial" w:cs="Arial"/>
          <w:color w:val="000000"/>
          <w:sz w:val="20"/>
          <w:szCs w:val="20"/>
        </w:rPr>
        <w:t xml:space="preserve">. En tal sentido,  José María Martín define a la contribución de mejoras como "la prestación obligatoria debida en razón de un aumento </w:t>
      </w:r>
      <w:r w:rsidRPr="002725ED">
        <w:rPr>
          <w:rFonts w:ascii="Arial" w:eastAsia="Times New Roman" w:hAnsi="Arial" w:cs="Arial"/>
          <w:color w:val="000000"/>
          <w:sz w:val="20"/>
          <w:szCs w:val="20"/>
        </w:rPr>
        <w:t>del valor venal de la propiedad inmueble derivado a la realización de la obra pública</w:t>
      </w:r>
      <w:r w:rsidRPr="002725ED">
        <w:rPr>
          <w:rFonts w:ascii="Arial" w:eastAsia="Times New Roman" w:hAnsi="Arial" w:cs="Arial"/>
          <w:color w:val="000000"/>
          <w:sz w:val="20"/>
          <w:szCs w:val="20"/>
          <w:vertAlign w:val="superscript"/>
        </w:rPr>
        <w:footnoteReference w:id="5"/>
      </w:r>
      <w:r w:rsidRPr="002725ED">
        <w:rPr>
          <w:rFonts w:ascii="Arial" w:eastAsia="Times New Roman" w:hAnsi="Arial" w:cs="Arial"/>
          <w:color w:val="000000"/>
          <w:sz w:val="20"/>
          <w:szCs w:val="20"/>
        </w:rPr>
        <w:t xml:space="preserve">". Para Manuel de </w:t>
      </w:r>
      <w:proofErr w:type="spellStart"/>
      <w:r w:rsidRPr="002725ED">
        <w:rPr>
          <w:rFonts w:ascii="Arial" w:eastAsia="Times New Roman" w:hAnsi="Arial" w:cs="Arial"/>
          <w:color w:val="000000"/>
          <w:sz w:val="20"/>
          <w:szCs w:val="20"/>
        </w:rPr>
        <w:t>Juano</w:t>
      </w:r>
      <w:proofErr w:type="spellEnd"/>
      <w:r w:rsidRPr="002725ED">
        <w:rPr>
          <w:rFonts w:ascii="Arial" w:eastAsia="Times New Roman" w:hAnsi="Arial" w:cs="Arial"/>
          <w:color w:val="000000"/>
          <w:sz w:val="20"/>
          <w:szCs w:val="20"/>
        </w:rPr>
        <w:t>, la contribución de mejoras, "es una obligación pecuniaria única, impuesta por el Estado lato sensu, a cargo de los propietarios de determinados i</w:t>
      </w:r>
      <w:r w:rsidRPr="002725ED">
        <w:rPr>
          <w:rFonts w:ascii="Arial" w:eastAsia="Times New Roman" w:hAnsi="Arial" w:cs="Arial"/>
          <w:color w:val="000000"/>
          <w:sz w:val="20"/>
          <w:szCs w:val="20"/>
        </w:rPr>
        <w:t>nmuebles hasta la concurrencia substancial, como máximo de la plusvalía que experimentan dichos inmuebles con motivo de la construcción de una obra pública de uso común</w:t>
      </w:r>
      <w:r w:rsidRPr="002725ED">
        <w:rPr>
          <w:rFonts w:ascii="Arial" w:eastAsia="Times New Roman" w:hAnsi="Arial" w:cs="Arial"/>
          <w:color w:val="000000"/>
          <w:sz w:val="20"/>
          <w:szCs w:val="20"/>
          <w:vertAlign w:val="superscript"/>
        </w:rPr>
        <w:footnoteReference w:id="6"/>
      </w:r>
      <w:r w:rsidRPr="002725ED">
        <w:rPr>
          <w:rFonts w:ascii="Arial" w:eastAsia="Times New Roman" w:hAnsi="Arial" w:cs="Arial"/>
          <w:color w:val="000000"/>
          <w:sz w:val="20"/>
          <w:szCs w:val="20"/>
        </w:rPr>
        <w:t>".  Por su parte De la Garza, ilustra claramente el tema,  precisando, que las contribu</w:t>
      </w:r>
      <w:r w:rsidRPr="002725ED">
        <w:rPr>
          <w:rFonts w:ascii="Arial" w:eastAsia="Times New Roman" w:hAnsi="Arial" w:cs="Arial"/>
          <w:color w:val="000000"/>
          <w:sz w:val="20"/>
          <w:szCs w:val="20"/>
        </w:rPr>
        <w:t xml:space="preserve">ciones por mejoras "son aquellos que deben pagarse por propietarios o poseedores de bienes inmuebles que experimentan una ventaja económica como consecuencia de la realización de una obra pública de planificación o de </w:t>
      </w:r>
      <w:r w:rsidRPr="002725ED">
        <w:rPr>
          <w:rFonts w:ascii="Arial" w:eastAsia="Times New Roman" w:hAnsi="Arial" w:cs="Arial"/>
          <w:color w:val="000000"/>
          <w:sz w:val="20"/>
          <w:szCs w:val="20"/>
        </w:rPr>
        <w:lastRenderedPageBreak/>
        <w:t>urbanización</w:t>
      </w:r>
      <w:r w:rsidRPr="002725ED">
        <w:rPr>
          <w:rFonts w:ascii="Arial" w:eastAsia="Times New Roman" w:hAnsi="Arial" w:cs="Arial"/>
          <w:color w:val="000000"/>
          <w:sz w:val="20"/>
          <w:szCs w:val="20"/>
          <w:vertAlign w:val="superscript"/>
        </w:rPr>
        <w:footnoteReference w:id="7"/>
      </w:r>
      <w:r w:rsidRPr="002725ED">
        <w:rPr>
          <w:rFonts w:ascii="Arial" w:eastAsia="Times New Roman" w:hAnsi="Arial" w:cs="Arial"/>
          <w:color w:val="000000"/>
          <w:sz w:val="20"/>
          <w:szCs w:val="20"/>
        </w:rPr>
        <w:t xml:space="preserve">". Y Gerardo </w:t>
      </w:r>
      <w:proofErr w:type="spellStart"/>
      <w:r w:rsidRPr="002725ED">
        <w:rPr>
          <w:rFonts w:ascii="Arial" w:eastAsia="Times New Roman" w:hAnsi="Arial" w:cs="Arial"/>
          <w:color w:val="000000"/>
          <w:sz w:val="20"/>
          <w:szCs w:val="20"/>
        </w:rPr>
        <w:t>Ataliba</w:t>
      </w:r>
      <w:proofErr w:type="spellEnd"/>
      <w:r w:rsidRPr="002725ED">
        <w:rPr>
          <w:rFonts w:ascii="Arial" w:eastAsia="Times New Roman" w:hAnsi="Arial" w:cs="Arial"/>
          <w:color w:val="000000"/>
          <w:sz w:val="20"/>
          <w:szCs w:val="20"/>
        </w:rPr>
        <w:t xml:space="preserve">  afi</w:t>
      </w:r>
      <w:r w:rsidRPr="002725ED">
        <w:rPr>
          <w:rFonts w:ascii="Arial" w:eastAsia="Times New Roman" w:hAnsi="Arial" w:cs="Arial"/>
          <w:color w:val="000000"/>
          <w:sz w:val="20"/>
          <w:szCs w:val="20"/>
        </w:rPr>
        <w:t>rma que "la hipótesis de incidencia de la contribución de mejora es la valorización inmobiliaria por una obra pública " y "si base imponible es la valorización; la medida de la valorización es la medida del tributo</w:t>
      </w:r>
      <w:r w:rsidRPr="002725ED">
        <w:rPr>
          <w:rFonts w:ascii="Arial" w:eastAsia="Times New Roman" w:hAnsi="Arial" w:cs="Arial"/>
          <w:color w:val="000000"/>
          <w:sz w:val="20"/>
          <w:szCs w:val="20"/>
          <w:vertAlign w:val="superscript"/>
        </w:rPr>
        <w:footnoteReference w:id="8"/>
      </w:r>
      <w:r w:rsidRPr="002725ED">
        <w:rPr>
          <w:rFonts w:ascii="Arial" w:eastAsia="Times New Roman" w:hAnsi="Arial" w:cs="Arial"/>
          <w:color w:val="000000"/>
          <w:sz w:val="20"/>
          <w:szCs w:val="20"/>
        </w:rPr>
        <w:t>”.</w:t>
      </w:r>
    </w:p>
    <w:p w:rsidR="00D22415" w:rsidRPr="002725ED" w:rsidRDefault="00D22415">
      <w:pPr>
        <w:pStyle w:val="normal0"/>
        <w:shd w:val="clear" w:color="auto" w:fill="FFFFFF"/>
        <w:spacing w:after="0" w:line="360" w:lineRule="auto"/>
        <w:jc w:val="both"/>
        <w:rPr>
          <w:rFonts w:ascii="Arial" w:eastAsia="Times New Roman" w:hAnsi="Arial" w:cs="Arial"/>
          <w:color w:val="000000"/>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sz w:val="20"/>
          <w:szCs w:val="20"/>
        </w:rPr>
      </w:pPr>
      <w:r w:rsidRPr="002725ED">
        <w:rPr>
          <w:rFonts w:ascii="Arial" w:eastAsia="Times New Roman" w:hAnsi="Arial" w:cs="Arial"/>
          <w:color w:val="000000"/>
          <w:sz w:val="20"/>
          <w:szCs w:val="20"/>
        </w:rPr>
        <w:t xml:space="preserve">Según la jurista mexicana, </w:t>
      </w:r>
      <w:proofErr w:type="spellStart"/>
      <w:r w:rsidRPr="002725ED">
        <w:rPr>
          <w:rFonts w:ascii="Arial" w:eastAsia="Times New Roman" w:hAnsi="Arial" w:cs="Arial"/>
          <w:sz w:val="20"/>
          <w:szCs w:val="20"/>
        </w:rPr>
        <w:t>Doricela</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M</w:t>
      </w:r>
      <w:r w:rsidRPr="002725ED">
        <w:rPr>
          <w:rFonts w:ascii="Arial" w:eastAsia="Times New Roman" w:hAnsi="Arial" w:cs="Arial"/>
          <w:sz w:val="20"/>
          <w:szCs w:val="20"/>
        </w:rPr>
        <w:t>abarack</w:t>
      </w:r>
      <w:proofErr w:type="spellEnd"/>
      <w:r w:rsidRPr="002725ED">
        <w:rPr>
          <w:rFonts w:ascii="Arial" w:eastAsia="Times New Roman" w:hAnsi="Arial" w:cs="Arial"/>
          <w:sz w:val="20"/>
          <w:szCs w:val="20"/>
        </w:rPr>
        <w:t xml:space="preserve"> </w:t>
      </w:r>
      <w:proofErr w:type="spellStart"/>
      <w:r w:rsidRPr="002725ED">
        <w:rPr>
          <w:rFonts w:ascii="Arial" w:eastAsia="Times New Roman" w:hAnsi="Arial" w:cs="Arial"/>
          <w:sz w:val="20"/>
          <w:szCs w:val="20"/>
        </w:rPr>
        <w:t>Cerecedo</w:t>
      </w:r>
      <w:proofErr w:type="spellEnd"/>
      <w:r w:rsidRPr="002725ED">
        <w:rPr>
          <w:rFonts w:ascii="Arial" w:eastAsia="Times New Roman" w:hAnsi="Arial" w:cs="Arial"/>
          <w:sz w:val="20"/>
          <w:szCs w:val="20"/>
        </w:rPr>
        <w:t xml:space="preserve">, las contribuciones por mejoras: </w:t>
      </w:r>
      <w:r w:rsidRPr="002725ED">
        <w:rPr>
          <w:rFonts w:ascii="Arial" w:eastAsia="Times New Roman" w:hAnsi="Arial" w:cs="Arial"/>
          <w:i/>
          <w:sz w:val="20"/>
          <w:szCs w:val="20"/>
        </w:rPr>
        <w:t>“son las que corren a cargo de las personas tanto físicas como morales, que obtienen un beneficio directo de las obras públicas que realiza el Estado</w:t>
      </w:r>
      <w:r w:rsidRPr="002725ED">
        <w:rPr>
          <w:rFonts w:ascii="Arial" w:eastAsia="Times New Roman" w:hAnsi="Arial" w:cs="Arial"/>
          <w:b/>
          <w:sz w:val="20"/>
          <w:szCs w:val="20"/>
          <w:vertAlign w:val="superscript"/>
        </w:rPr>
        <w:footnoteReference w:id="9"/>
      </w:r>
      <w:r w:rsidRPr="002725ED">
        <w:rPr>
          <w:rFonts w:ascii="Arial" w:eastAsia="Times New Roman" w:hAnsi="Arial" w:cs="Arial"/>
          <w:i/>
          <w:sz w:val="20"/>
          <w:szCs w:val="20"/>
        </w:rPr>
        <w:t xml:space="preserve">”; </w:t>
      </w:r>
      <w:r w:rsidRPr="002725ED">
        <w:rPr>
          <w:rFonts w:ascii="Arial" w:eastAsia="Times New Roman" w:hAnsi="Arial" w:cs="Arial"/>
          <w:sz w:val="20"/>
          <w:szCs w:val="20"/>
        </w:rPr>
        <w:t>Así mismo, el jurista ecuatoriano Álvaro Ojeda Hidalg</w:t>
      </w:r>
      <w:r w:rsidRPr="002725ED">
        <w:rPr>
          <w:rFonts w:ascii="Arial" w:eastAsia="Times New Roman" w:hAnsi="Arial" w:cs="Arial"/>
          <w:sz w:val="20"/>
          <w:szCs w:val="20"/>
        </w:rPr>
        <w:t xml:space="preserve">o, opina: </w:t>
      </w:r>
      <w:r w:rsidRPr="002725ED">
        <w:rPr>
          <w:rFonts w:ascii="Arial" w:eastAsia="Times New Roman" w:hAnsi="Arial" w:cs="Arial"/>
          <w:i/>
          <w:sz w:val="20"/>
          <w:szCs w:val="20"/>
        </w:rPr>
        <w:t>“En el caso de la contribución especial el elemento diferenciador con los otros impuestos lo constituye la ventaja real que el particular recibe, misma que se con vierte en el fundamento jurídico de este tributo, de tal forma que la deuda tributa</w:t>
      </w:r>
      <w:r w:rsidRPr="002725ED">
        <w:rPr>
          <w:rFonts w:ascii="Arial" w:eastAsia="Times New Roman" w:hAnsi="Arial" w:cs="Arial"/>
          <w:i/>
          <w:sz w:val="20"/>
          <w:szCs w:val="20"/>
        </w:rPr>
        <w:t>ria no surge si falta el mencionado beneficio. Del impuesto se diferencia que en la contribución especial hay siempre una actividad administrativa</w:t>
      </w:r>
      <w:r w:rsidRPr="002725ED">
        <w:rPr>
          <w:rFonts w:ascii="Arial" w:eastAsia="Times New Roman" w:hAnsi="Arial" w:cs="Arial"/>
          <w:sz w:val="20"/>
          <w:szCs w:val="20"/>
          <w:vertAlign w:val="superscript"/>
        </w:rPr>
        <w:footnoteReference w:id="10"/>
      </w:r>
      <w:r w:rsidRPr="002725ED">
        <w:rPr>
          <w:rFonts w:ascii="Arial" w:eastAsia="Times New Roman" w:hAnsi="Arial" w:cs="Arial"/>
          <w:sz w:val="20"/>
          <w:szCs w:val="20"/>
        </w:rPr>
        <w:t xml:space="preserve">”. </w:t>
      </w:r>
    </w:p>
    <w:p w:rsidR="00D22415" w:rsidRPr="002725ED" w:rsidRDefault="00D22415">
      <w:pPr>
        <w:pStyle w:val="normal0"/>
        <w:pBdr>
          <w:top w:val="nil"/>
          <w:left w:val="nil"/>
          <w:bottom w:val="nil"/>
          <w:right w:val="nil"/>
          <w:between w:val="nil"/>
        </w:pBdr>
        <w:spacing w:after="0" w:line="276" w:lineRule="auto"/>
        <w:ind w:left="1134"/>
        <w:jc w:val="both"/>
        <w:rPr>
          <w:rFonts w:ascii="Arial" w:eastAsia="Times New Roman" w:hAnsi="Arial" w:cs="Arial"/>
          <w:color w:val="000000"/>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Ahora, las Contribuciones Parafiscales, según José María Martín, son definidas como la prestación exigid</w:t>
      </w:r>
      <w:r w:rsidRPr="002725ED">
        <w:rPr>
          <w:rFonts w:ascii="Arial" w:eastAsia="Times New Roman" w:hAnsi="Arial" w:cs="Arial"/>
          <w:color w:val="000000"/>
          <w:sz w:val="20"/>
          <w:szCs w:val="20"/>
        </w:rPr>
        <w:t>a coactivamente por el Estado a favor de un organismo público o semipúblico con el objeto de asegurar la financiación automática de éste y cumplir con determinadas finalidades de carácter social o económico</w:t>
      </w:r>
      <w:r w:rsidRPr="002725ED">
        <w:rPr>
          <w:rFonts w:ascii="Arial" w:eastAsia="Times New Roman" w:hAnsi="Arial" w:cs="Arial"/>
          <w:color w:val="000000"/>
          <w:sz w:val="20"/>
          <w:szCs w:val="20"/>
          <w:vertAlign w:val="superscript"/>
        </w:rPr>
        <w:footnoteReference w:id="11"/>
      </w:r>
      <w:r w:rsidRPr="002725ED">
        <w:rPr>
          <w:rFonts w:ascii="Arial" w:eastAsia="Times New Roman" w:hAnsi="Arial" w:cs="Arial"/>
          <w:color w:val="000000"/>
          <w:sz w:val="20"/>
          <w:szCs w:val="20"/>
        </w:rPr>
        <w:t xml:space="preserve">. Así mismo, Manuel de </w:t>
      </w:r>
      <w:proofErr w:type="spellStart"/>
      <w:r w:rsidRPr="002725ED">
        <w:rPr>
          <w:rFonts w:ascii="Arial" w:eastAsia="Times New Roman" w:hAnsi="Arial" w:cs="Arial"/>
          <w:color w:val="000000"/>
          <w:sz w:val="20"/>
          <w:szCs w:val="20"/>
        </w:rPr>
        <w:t>Juano</w:t>
      </w:r>
      <w:proofErr w:type="spellEnd"/>
      <w:r w:rsidRPr="002725ED">
        <w:rPr>
          <w:rFonts w:ascii="Arial" w:eastAsia="Times New Roman" w:hAnsi="Arial" w:cs="Arial"/>
          <w:color w:val="000000"/>
          <w:sz w:val="20"/>
          <w:szCs w:val="20"/>
        </w:rPr>
        <w:t>, precisa que los lla</w:t>
      </w:r>
      <w:r w:rsidRPr="002725ED">
        <w:rPr>
          <w:rFonts w:ascii="Arial" w:eastAsia="Times New Roman" w:hAnsi="Arial" w:cs="Arial"/>
          <w:color w:val="000000"/>
          <w:sz w:val="20"/>
          <w:szCs w:val="20"/>
        </w:rPr>
        <w:t>mados parafiscales, tienen tributariamente una naturaleza propia que los distingue de los anteriores. Son tributos que participan de la naturaleza del impuesto por su gravitación económica sobre el consumidor lo que les acuerda cierta semejanza con la impo</w:t>
      </w:r>
      <w:r w:rsidRPr="002725ED">
        <w:rPr>
          <w:rFonts w:ascii="Arial" w:eastAsia="Times New Roman" w:hAnsi="Arial" w:cs="Arial"/>
          <w:color w:val="000000"/>
          <w:sz w:val="20"/>
          <w:szCs w:val="20"/>
        </w:rPr>
        <w:t>sición indirecta y por su obligatoriedad pero no tiene figuración específica en el Presupuesto del Estado y están afectados a gastos determinados, que se especifican por la disposición legal que los ha creado vale decir que la parafiscalidad deroga la regl</w:t>
      </w:r>
      <w:r w:rsidRPr="002725ED">
        <w:rPr>
          <w:rFonts w:ascii="Arial" w:eastAsia="Times New Roman" w:hAnsi="Arial" w:cs="Arial"/>
          <w:color w:val="000000"/>
          <w:sz w:val="20"/>
          <w:szCs w:val="20"/>
        </w:rPr>
        <w:t>a de la no afectación de los recursos</w:t>
      </w:r>
      <w:r w:rsidRPr="002725ED">
        <w:rPr>
          <w:rFonts w:ascii="Arial" w:eastAsia="Times New Roman" w:hAnsi="Arial" w:cs="Arial"/>
          <w:color w:val="000000"/>
          <w:sz w:val="20"/>
          <w:szCs w:val="20"/>
          <w:vertAlign w:val="superscript"/>
        </w:rPr>
        <w:footnoteReference w:id="12"/>
      </w:r>
      <w:r w:rsidRPr="002725ED">
        <w:rPr>
          <w:rFonts w:ascii="Arial" w:eastAsia="Times New Roman" w:hAnsi="Arial" w:cs="Arial"/>
          <w:color w:val="000000"/>
          <w:sz w:val="20"/>
          <w:szCs w:val="20"/>
        </w:rPr>
        <w:t xml:space="preserve">. </w:t>
      </w:r>
    </w:p>
    <w:p w:rsidR="00D22415" w:rsidRPr="002725ED" w:rsidRDefault="00D22415">
      <w:pPr>
        <w:pStyle w:val="normal0"/>
        <w:shd w:val="clear" w:color="auto" w:fill="FFFFFF"/>
        <w:spacing w:after="0" w:line="360" w:lineRule="auto"/>
        <w:jc w:val="both"/>
        <w:rPr>
          <w:rFonts w:ascii="Arial" w:eastAsia="Times New Roman" w:hAnsi="Arial" w:cs="Arial"/>
          <w:color w:val="000000"/>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 xml:space="preserve">Por su parte, Valdez Costa, anota que la expresión de parafiscalidad, está restringida a los organismos no estatales, entiéndase, a una actividad financiera lateral a la de Estado. En tal sentido, considera que se </w:t>
      </w:r>
      <w:r w:rsidRPr="002725ED">
        <w:rPr>
          <w:rFonts w:ascii="Arial" w:eastAsia="Times New Roman" w:hAnsi="Arial" w:cs="Arial"/>
          <w:color w:val="000000"/>
          <w:sz w:val="20"/>
          <w:szCs w:val="20"/>
        </w:rPr>
        <w:t>trata de una actividad financiera, que no es del Estado, pero tampoco es privada,  toda vez,  que cumple los fines  previstos  en las constituciones y está organizada libre y unilateralmente por del Estado. Finalmente, precisa, que el término parafiscal, t</w:t>
      </w:r>
      <w:r w:rsidRPr="002725ED">
        <w:rPr>
          <w:rFonts w:ascii="Arial" w:eastAsia="Times New Roman" w:hAnsi="Arial" w:cs="Arial"/>
          <w:color w:val="000000"/>
          <w:sz w:val="20"/>
          <w:szCs w:val="20"/>
        </w:rPr>
        <w:t xml:space="preserve">raduce adecuadamente esta situación de lateralidad o paralelismo, en tal sentido,  </w:t>
      </w:r>
      <w:r w:rsidRPr="002725ED">
        <w:rPr>
          <w:rFonts w:ascii="Arial" w:eastAsia="Times New Roman" w:hAnsi="Arial" w:cs="Arial"/>
          <w:color w:val="000000"/>
          <w:sz w:val="20"/>
          <w:szCs w:val="20"/>
        </w:rPr>
        <w:lastRenderedPageBreak/>
        <w:t xml:space="preserve">no considera que hay inconveniente en denominarla contribuciones o mejor aún </w:t>
      </w:r>
      <w:proofErr w:type="spellStart"/>
      <w:r w:rsidRPr="002725ED">
        <w:rPr>
          <w:rFonts w:ascii="Arial" w:eastAsia="Times New Roman" w:hAnsi="Arial" w:cs="Arial"/>
          <w:color w:val="000000"/>
          <w:sz w:val="20"/>
          <w:szCs w:val="20"/>
        </w:rPr>
        <w:t>paratributarias</w:t>
      </w:r>
      <w:proofErr w:type="spellEnd"/>
      <w:r w:rsidRPr="002725ED">
        <w:rPr>
          <w:rFonts w:ascii="Arial" w:eastAsia="Times New Roman" w:hAnsi="Arial" w:cs="Arial"/>
          <w:color w:val="000000"/>
          <w:sz w:val="20"/>
          <w:szCs w:val="20"/>
          <w:vertAlign w:val="superscript"/>
        </w:rPr>
        <w:footnoteReference w:id="13"/>
      </w:r>
      <w:r w:rsidRPr="002725ED">
        <w:rPr>
          <w:rFonts w:ascii="Arial" w:eastAsia="Times New Roman" w:hAnsi="Arial" w:cs="Arial"/>
          <w:color w:val="000000"/>
          <w:sz w:val="20"/>
          <w:szCs w:val="20"/>
        </w:rPr>
        <w:t xml:space="preserve">". </w:t>
      </w:r>
    </w:p>
    <w:p w:rsidR="00D22415" w:rsidRPr="002725ED" w:rsidRDefault="00D22415">
      <w:pPr>
        <w:pStyle w:val="normal0"/>
        <w:shd w:val="clear" w:color="auto" w:fill="FFFFFF"/>
        <w:spacing w:after="0" w:line="360" w:lineRule="auto"/>
        <w:jc w:val="both"/>
        <w:rPr>
          <w:rFonts w:ascii="Arial" w:eastAsia="Times New Roman" w:hAnsi="Arial" w:cs="Arial"/>
          <w:color w:val="000000"/>
          <w:sz w:val="20"/>
          <w:szCs w:val="20"/>
        </w:rPr>
      </w:pPr>
    </w:p>
    <w:p w:rsidR="00D22415" w:rsidRPr="002725ED" w:rsidRDefault="006F075D">
      <w:pPr>
        <w:pStyle w:val="normal0"/>
        <w:shd w:val="clear" w:color="auto" w:fill="FFFFFF"/>
        <w:spacing w:after="0" w:line="36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Finalmente, se advierte, que diversos autores niegan la naturaleza tributar</w:t>
      </w:r>
      <w:r w:rsidRPr="002725ED">
        <w:rPr>
          <w:rFonts w:ascii="Arial" w:eastAsia="Times New Roman" w:hAnsi="Arial" w:cs="Arial"/>
          <w:color w:val="000000"/>
          <w:sz w:val="20"/>
          <w:szCs w:val="20"/>
        </w:rPr>
        <w:t xml:space="preserve">ia de la contribución parafiscal, es así, que </w:t>
      </w:r>
      <w:proofErr w:type="spellStart"/>
      <w:r w:rsidRPr="002725ED">
        <w:rPr>
          <w:rFonts w:ascii="Arial" w:eastAsia="Times New Roman" w:hAnsi="Arial" w:cs="Arial"/>
          <w:color w:val="000000"/>
          <w:sz w:val="20"/>
          <w:szCs w:val="20"/>
        </w:rPr>
        <w:t>Enmanuellle</w:t>
      </w:r>
      <w:proofErr w:type="spellEnd"/>
      <w:r w:rsidRPr="002725ED">
        <w:rPr>
          <w:rFonts w:ascii="Arial" w:eastAsia="Times New Roman" w:hAnsi="Arial" w:cs="Arial"/>
          <w:color w:val="000000"/>
          <w:sz w:val="20"/>
          <w:szCs w:val="20"/>
        </w:rPr>
        <w:t xml:space="preserve"> </w:t>
      </w:r>
      <w:proofErr w:type="spellStart"/>
      <w:r w:rsidRPr="002725ED">
        <w:rPr>
          <w:rFonts w:ascii="Arial" w:eastAsia="Times New Roman" w:hAnsi="Arial" w:cs="Arial"/>
          <w:color w:val="000000"/>
          <w:sz w:val="20"/>
          <w:szCs w:val="20"/>
        </w:rPr>
        <w:t>Morselli</w:t>
      </w:r>
      <w:proofErr w:type="spellEnd"/>
      <w:r w:rsidRPr="002725ED">
        <w:rPr>
          <w:rFonts w:ascii="Arial" w:eastAsia="Times New Roman" w:hAnsi="Arial" w:cs="Arial"/>
          <w:color w:val="000000"/>
          <w:sz w:val="20"/>
          <w:szCs w:val="20"/>
        </w:rPr>
        <w:t xml:space="preserve"> y otros autores, niega el carácter tributario a las exacciones parafiscales, sosteniendo que se trata de una imposición de carácter social y económica con finalidades especiales, cuya origi</w:t>
      </w:r>
      <w:r w:rsidRPr="002725ED">
        <w:rPr>
          <w:rFonts w:ascii="Arial" w:eastAsia="Times New Roman" w:hAnsi="Arial" w:cs="Arial"/>
          <w:color w:val="000000"/>
          <w:sz w:val="20"/>
          <w:szCs w:val="20"/>
        </w:rPr>
        <w:t>nalidad reposa en la necesidad de dar participación en ciertas funciones y en los organismos a los cuales éstas son confiadas, a los miembros que tienen intereses comunes, económicos, morales espirituales, incluyendo a los demás integrantes, de la sociedad</w:t>
      </w:r>
      <w:r w:rsidRPr="002725ED">
        <w:rPr>
          <w:rFonts w:ascii="Arial" w:eastAsia="Times New Roman" w:hAnsi="Arial" w:cs="Arial"/>
          <w:color w:val="000000"/>
          <w:sz w:val="20"/>
          <w:szCs w:val="20"/>
        </w:rPr>
        <w:t xml:space="preserve"> política general para quienes el peso de la imposición tradicional serían obstáculos insuperables</w:t>
      </w:r>
      <w:r w:rsidRPr="002725ED">
        <w:rPr>
          <w:rFonts w:ascii="Arial" w:eastAsia="Times New Roman" w:hAnsi="Arial" w:cs="Arial"/>
          <w:color w:val="000000"/>
          <w:sz w:val="20"/>
          <w:szCs w:val="20"/>
          <w:vertAlign w:val="superscript"/>
        </w:rPr>
        <w:footnoteReference w:id="14"/>
      </w:r>
      <w:r w:rsidRPr="002725ED">
        <w:rPr>
          <w:rFonts w:ascii="Arial" w:eastAsia="Times New Roman" w:hAnsi="Arial" w:cs="Arial"/>
          <w:color w:val="000000"/>
          <w:sz w:val="20"/>
          <w:szCs w:val="20"/>
        </w:rPr>
        <w:t>.</w:t>
      </w:r>
    </w:p>
    <w:p w:rsidR="00D22415" w:rsidRPr="002725ED" w:rsidRDefault="00D22415">
      <w:pPr>
        <w:pStyle w:val="normal0"/>
        <w:shd w:val="clear" w:color="auto" w:fill="FFFFFF"/>
        <w:spacing w:after="0" w:line="360" w:lineRule="auto"/>
        <w:jc w:val="both"/>
        <w:rPr>
          <w:rFonts w:ascii="Arial" w:eastAsia="Times New Roman" w:hAnsi="Arial" w:cs="Arial"/>
          <w:color w:val="000000"/>
          <w:sz w:val="20"/>
          <w:szCs w:val="20"/>
        </w:rPr>
      </w:pPr>
    </w:p>
    <w:p w:rsidR="00D22415" w:rsidRPr="002725ED" w:rsidRDefault="00D22415">
      <w:pPr>
        <w:pStyle w:val="normal0"/>
        <w:spacing w:after="0" w:line="276" w:lineRule="auto"/>
        <w:jc w:val="both"/>
        <w:rPr>
          <w:rFonts w:ascii="Arial" w:eastAsia="Times New Roman" w:hAnsi="Arial" w:cs="Arial"/>
          <w:i/>
          <w:sz w:val="20"/>
          <w:szCs w:val="20"/>
        </w:rPr>
      </w:pPr>
    </w:p>
    <w:p w:rsidR="00D22415" w:rsidRPr="002725ED" w:rsidRDefault="006F075D">
      <w:pPr>
        <w:pStyle w:val="normal0"/>
        <w:numPr>
          <w:ilvl w:val="0"/>
          <w:numId w:val="2"/>
        </w:numPr>
        <w:pBdr>
          <w:top w:val="nil"/>
          <w:left w:val="nil"/>
          <w:bottom w:val="nil"/>
          <w:right w:val="nil"/>
          <w:between w:val="nil"/>
        </w:pBdr>
        <w:spacing w:after="0" w:line="276" w:lineRule="auto"/>
        <w:jc w:val="both"/>
        <w:rPr>
          <w:rFonts w:ascii="Arial" w:hAnsi="Arial" w:cs="Arial"/>
          <w:color w:val="000000"/>
          <w:sz w:val="20"/>
          <w:szCs w:val="20"/>
        </w:rPr>
      </w:pPr>
      <w:r w:rsidRPr="002725ED">
        <w:rPr>
          <w:rFonts w:ascii="Arial" w:eastAsia="Times New Roman" w:hAnsi="Arial" w:cs="Arial"/>
          <w:b/>
          <w:color w:val="000000"/>
          <w:sz w:val="20"/>
          <w:szCs w:val="20"/>
          <w:u w:val="single"/>
        </w:rPr>
        <w:t>LA CONTRIBUCIÓN POR OBRAS PUBLICAS</w:t>
      </w:r>
      <w:r w:rsidRPr="002725ED">
        <w:rPr>
          <w:rFonts w:ascii="Arial" w:eastAsia="Times New Roman" w:hAnsi="Arial" w:cs="Arial"/>
          <w:b/>
          <w:color w:val="000000"/>
          <w:sz w:val="20"/>
          <w:szCs w:val="20"/>
        </w:rPr>
        <w:t xml:space="preserve">: </w:t>
      </w:r>
    </w:p>
    <w:p w:rsidR="00D22415" w:rsidRPr="002725ED" w:rsidRDefault="00D22415">
      <w:pPr>
        <w:pStyle w:val="normal0"/>
        <w:spacing w:after="0" w:line="276"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 xml:space="preserve">El artículo 62 del Decreto Supremo Nro. 156 – 2004 – EF: “Texto Único Ordenado de la Ley de Tributación Municipal”, regula la creación de contribuciones municipales, bajo el siguiente tenor: </w:t>
      </w:r>
      <w:r w:rsidRPr="002725ED">
        <w:rPr>
          <w:rFonts w:ascii="Arial" w:eastAsia="Times New Roman" w:hAnsi="Arial" w:cs="Arial"/>
          <w:i/>
          <w:sz w:val="20"/>
          <w:szCs w:val="20"/>
        </w:rPr>
        <w:t xml:space="preserve">“La Contribución Especial de Obras Públicas grava los beneficios </w:t>
      </w:r>
      <w:r w:rsidRPr="002725ED">
        <w:rPr>
          <w:rFonts w:ascii="Arial" w:eastAsia="Times New Roman" w:hAnsi="Arial" w:cs="Arial"/>
          <w:i/>
          <w:sz w:val="20"/>
          <w:szCs w:val="20"/>
        </w:rPr>
        <w:t xml:space="preserve">derivados de la ejecución de obras públicas por la Municipalidad. Las Municipalidades emitirán las normas procesales para la recaudación, fiscalización y administración de las contribuciones”; </w:t>
      </w:r>
      <w:r w:rsidRPr="002725ED">
        <w:rPr>
          <w:rFonts w:ascii="Arial" w:eastAsia="Times New Roman" w:hAnsi="Arial" w:cs="Arial"/>
          <w:sz w:val="20"/>
          <w:szCs w:val="20"/>
        </w:rPr>
        <w:t>En tal sentido, según el literal a) del artículo 60 de la citad</w:t>
      </w:r>
      <w:r w:rsidRPr="002725ED">
        <w:rPr>
          <w:rFonts w:ascii="Arial" w:eastAsia="Times New Roman" w:hAnsi="Arial" w:cs="Arial"/>
          <w:sz w:val="20"/>
          <w:szCs w:val="20"/>
        </w:rPr>
        <w:t xml:space="preserve">a norma edil, las contribuciones se crean y aprueban mediante ordenanzas, entiéndase, norma con rango de ley dentro de los límites de la jurisdicción local. </w:t>
      </w:r>
    </w:p>
    <w:p w:rsidR="00D22415" w:rsidRPr="002725ED" w:rsidRDefault="00D22415">
      <w:pPr>
        <w:pStyle w:val="normal0"/>
        <w:spacing w:after="0" w:line="276" w:lineRule="auto"/>
        <w:jc w:val="both"/>
        <w:rPr>
          <w:rFonts w:ascii="Arial" w:eastAsia="Times New Roman" w:hAnsi="Arial" w:cs="Arial"/>
          <w:i/>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Al respecto, las obras públicas municipales, que podrán ejecutarse vía contribución serán: Pavime</w:t>
      </w:r>
      <w:r w:rsidRPr="002725ED">
        <w:rPr>
          <w:rFonts w:ascii="Arial" w:eastAsia="Times New Roman" w:hAnsi="Arial" w:cs="Arial"/>
          <w:sz w:val="20"/>
          <w:szCs w:val="20"/>
        </w:rPr>
        <w:t xml:space="preserve">ntación de calles, Ensanchamiento de calzadas, Mejoramiento de la iluminación en el alumbrado público, Creación de bermas centrales con vegetación y bancas, Construcción de puentes a efectos de mejorar la circulación peatonal, Canalización de una acequia, </w:t>
      </w:r>
      <w:r w:rsidRPr="002725ED">
        <w:rPr>
          <w:rFonts w:ascii="Arial" w:eastAsia="Times New Roman" w:hAnsi="Arial" w:cs="Arial"/>
          <w:sz w:val="20"/>
          <w:szCs w:val="20"/>
        </w:rPr>
        <w:t xml:space="preserve">Instalación de drenajes de lluvia en las pistas, entre diversas obras públicas locales. En tal sentido, deviene en condición obligatoria, un beneficio colectivo vinculado a una zona de influencia, por tanto, los contribuyentes con predios ajenos a la zona </w:t>
      </w:r>
      <w:r w:rsidRPr="002725ED">
        <w:rPr>
          <w:rFonts w:ascii="Arial" w:eastAsia="Times New Roman" w:hAnsi="Arial" w:cs="Arial"/>
          <w:sz w:val="20"/>
          <w:szCs w:val="20"/>
        </w:rPr>
        <w:t>de influencia, no se encuentran obligados al pago de la contribución por mejora. Así mismo, la zona de influencia, necesariamente deberá ser delimitada por la ordenanza que crea y apruebe la contribución. Finalmente, mediante Decreto de Alcaldía, se reglam</w:t>
      </w:r>
      <w:r w:rsidRPr="002725ED">
        <w:rPr>
          <w:rFonts w:ascii="Arial" w:eastAsia="Times New Roman" w:hAnsi="Arial" w:cs="Arial"/>
          <w:sz w:val="20"/>
          <w:szCs w:val="20"/>
        </w:rPr>
        <w:t xml:space="preserve">entará la recaudación, fiscalización y administración de los recursos monetarios vía contribución por obras públicas. </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i/>
          <w:sz w:val="20"/>
          <w:szCs w:val="20"/>
        </w:rPr>
      </w:pPr>
      <w:r w:rsidRPr="002725ED">
        <w:rPr>
          <w:rFonts w:ascii="Arial" w:eastAsia="Times New Roman" w:hAnsi="Arial" w:cs="Arial"/>
          <w:sz w:val="20"/>
          <w:szCs w:val="20"/>
        </w:rPr>
        <w:t>Prosiguiendo, el artículo 63 del Decreto Supremo Nro. 156 – 2004 – EF: “Texto Único Ordenado de la Ley de Tributación Municipal”, textua</w:t>
      </w:r>
      <w:r w:rsidRPr="002725ED">
        <w:rPr>
          <w:rFonts w:ascii="Arial" w:eastAsia="Times New Roman" w:hAnsi="Arial" w:cs="Arial"/>
          <w:sz w:val="20"/>
          <w:szCs w:val="20"/>
        </w:rPr>
        <w:t>lmente reza: “</w:t>
      </w:r>
      <w:r w:rsidRPr="002725ED">
        <w:rPr>
          <w:rFonts w:ascii="Arial" w:eastAsia="Times New Roman" w:hAnsi="Arial" w:cs="Arial"/>
          <w:i/>
          <w:sz w:val="20"/>
          <w:szCs w:val="20"/>
        </w:rPr>
        <w:t xml:space="preserve">En la determinación de la </w:t>
      </w:r>
      <w:r w:rsidRPr="002725ED">
        <w:rPr>
          <w:rFonts w:ascii="Arial" w:eastAsia="Times New Roman" w:hAnsi="Arial" w:cs="Arial"/>
          <w:i/>
          <w:sz w:val="20"/>
          <w:szCs w:val="20"/>
        </w:rPr>
        <w:lastRenderedPageBreak/>
        <w:t>contribución especial por obras públicas, las Municipalidades calcularán el monto teniendo en consideración el mayor valor que adquiera la propiedad beneficiada por efecto de la obra municipal.”</w:t>
      </w:r>
    </w:p>
    <w:p w:rsidR="00D22415" w:rsidRPr="002725ED" w:rsidRDefault="00D22415">
      <w:pPr>
        <w:pStyle w:val="normal0"/>
        <w:pBdr>
          <w:top w:val="nil"/>
          <w:left w:val="nil"/>
          <w:bottom w:val="nil"/>
          <w:right w:val="nil"/>
          <w:between w:val="nil"/>
        </w:pBdr>
        <w:spacing w:after="0" w:line="276" w:lineRule="auto"/>
        <w:ind w:left="1134"/>
        <w:jc w:val="both"/>
        <w:rPr>
          <w:rFonts w:ascii="Arial" w:eastAsia="Times New Roman" w:hAnsi="Arial" w:cs="Arial"/>
          <w:i/>
          <w:color w:val="000000"/>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Al respecto, la orde</w:t>
      </w:r>
      <w:r w:rsidRPr="002725ED">
        <w:rPr>
          <w:rFonts w:ascii="Arial" w:eastAsia="Times New Roman" w:hAnsi="Arial" w:cs="Arial"/>
          <w:sz w:val="20"/>
          <w:szCs w:val="20"/>
        </w:rPr>
        <w:t>nanza que apruebe la contribución por obras públicas, deberá contener una prognosis del mayor valor que adquirirán las propiedades beneficiadas, entiéndase, una vez ejecutada la obra pública. Sin embargo, determinar el mayor valor de las propiedades y la z</w:t>
      </w:r>
      <w:r w:rsidRPr="002725ED">
        <w:rPr>
          <w:rFonts w:ascii="Arial" w:eastAsia="Times New Roman" w:hAnsi="Arial" w:cs="Arial"/>
          <w:sz w:val="20"/>
          <w:szCs w:val="20"/>
        </w:rPr>
        <w:t>ona de beneficio, obligan al conocimiento de ciertas condiciones técnicas; Al respecto, la Municipalidad Metropolitana de Lima, mediante su Ordenanza Nro. 1790-2014, de fecha 13 de junio del 2,014, estableció los siguientes criterios para establecer la zon</w:t>
      </w:r>
      <w:r w:rsidRPr="002725ED">
        <w:rPr>
          <w:rFonts w:ascii="Arial" w:eastAsia="Times New Roman" w:hAnsi="Arial" w:cs="Arial"/>
          <w:sz w:val="20"/>
          <w:szCs w:val="20"/>
        </w:rPr>
        <w:t xml:space="preserve">a de beneficio: “Características de la obra municipal a ejecutar, Magnitud de la obra municipal, Área en que se localiza la obra municipal, plan o conjunto de obras, Beneficios que genera la obra municipal, Distancia que exista entre los predios y la obra </w:t>
      </w:r>
      <w:r w:rsidRPr="002725ED">
        <w:rPr>
          <w:rFonts w:ascii="Arial" w:eastAsia="Times New Roman" w:hAnsi="Arial" w:cs="Arial"/>
          <w:sz w:val="20"/>
          <w:szCs w:val="20"/>
        </w:rPr>
        <w:t xml:space="preserve">municipal, Uso actual y potencial de los predios, Impacto de la obra municipal, entre los principales criterios que deberán ser sustentarse técnicamente”. </w:t>
      </w:r>
    </w:p>
    <w:p w:rsidR="00D22415" w:rsidRPr="002725ED" w:rsidRDefault="00D22415">
      <w:pPr>
        <w:pStyle w:val="normal0"/>
        <w:spacing w:after="0" w:line="276"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hAnsi="Arial" w:cs="Arial"/>
          <w:sz w:val="20"/>
          <w:szCs w:val="20"/>
        </w:rPr>
      </w:pPr>
      <w:r w:rsidRPr="002725ED">
        <w:rPr>
          <w:rFonts w:ascii="Arial" w:eastAsia="Times New Roman" w:hAnsi="Arial" w:cs="Arial"/>
          <w:sz w:val="20"/>
          <w:szCs w:val="20"/>
        </w:rPr>
        <w:t>Por su parte, el artículo 64 del Decreto Supremo Nro. 156 – 2004 – EF: “Texto Único Ordenado de la Ley de Tributación Municipal”, a la letra dice: “</w:t>
      </w:r>
      <w:r w:rsidRPr="002725ED">
        <w:rPr>
          <w:rFonts w:ascii="Arial" w:eastAsia="Times New Roman" w:hAnsi="Arial" w:cs="Arial"/>
          <w:i/>
          <w:sz w:val="20"/>
          <w:szCs w:val="20"/>
        </w:rPr>
        <w:t>En ningún caso las Municipalidades podrán establecer cobros por contribución especial por obras públicas cuy</w:t>
      </w:r>
      <w:r w:rsidRPr="002725ED">
        <w:rPr>
          <w:rFonts w:ascii="Arial" w:eastAsia="Times New Roman" w:hAnsi="Arial" w:cs="Arial"/>
          <w:i/>
          <w:sz w:val="20"/>
          <w:szCs w:val="20"/>
        </w:rPr>
        <w:t>o destino sea ajeno a cubrir el costo de inversión total o un porcentaje de dicho costo, según lo determine el Concejo Municipal. Para efectos de la valorización de las obras y del costo de mantenimiento, las Municipalidades contemplarán en sus normas regl</w:t>
      </w:r>
      <w:r w:rsidRPr="002725ED">
        <w:rPr>
          <w:rFonts w:ascii="Arial" w:eastAsia="Times New Roman" w:hAnsi="Arial" w:cs="Arial"/>
          <w:i/>
          <w:sz w:val="20"/>
          <w:szCs w:val="20"/>
        </w:rPr>
        <w:t>amentarias, mecanismos que garanticen la publicidad y la idoneidad técnica de los procedimientos de valorización, así como la participación de la población”.</w:t>
      </w:r>
      <w:r w:rsidRPr="002725ED">
        <w:rPr>
          <w:rFonts w:ascii="Arial" w:hAnsi="Arial" w:cs="Arial"/>
          <w:sz w:val="20"/>
          <w:szCs w:val="20"/>
        </w:rPr>
        <w:t xml:space="preserve"> </w:t>
      </w:r>
    </w:p>
    <w:p w:rsidR="00D22415" w:rsidRPr="002725ED" w:rsidRDefault="00D22415">
      <w:pPr>
        <w:pStyle w:val="normal0"/>
        <w:spacing w:after="0" w:line="360" w:lineRule="auto"/>
        <w:jc w:val="both"/>
        <w:rPr>
          <w:rFonts w:ascii="Arial"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 xml:space="preserve">Al respecto, la citada norma municipal determina el uso exclusivo (Obra Pública), de la suma de </w:t>
      </w:r>
      <w:r w:rsidRPr="002725ED">
        <w:rPr>
          <w:rFonts w:ascii="Arial" w:eastAsia="Times New Roman" w:hAnsi="Arial" w:cs="Arial"/>
          <w:sz w:val="20"/>
          <w:szCs w:val="20"/>
        </w:rPr>
        <w:t>dinero recaudado vía contribución; Prohibiendo de manera categórica, un destino distinto de la contribución, por acarrear sanciones administrativas y penales. Así mismo, deviene en imperativo, la publicidad del Decreto de Alcaldía que reglamenta la ordenan</w:t>
      </w:r>
      <w:r w:rsidRPr="002725ED">
        <w:rPr>
          <w:rFonts w:ascii="Arial" w:eastAsia="Times New Roman" w:hAnsi="Arial" w:cs="Arial"/>
          <w:sz w:val="20"/>
          <w:szCs w:val="20"/>
        </w:rPr>
        <w:t>za tributaria y comunicación de los alcances de la obra por ejecutar a la población distrital, la cual se verá beneficiada con el incremento de valor de sus propiedades.</w:t>
      </w:r>
    </w:p>
    <w:p w:rsidR="00D22415" w:rsidRPr="002725ED" w:rsidRDefault="00D22415">
      <w:pPr>
        <w:pStyle w:val="normal0"/>
        <w:spacing w:after="0" w:line="276" w:lineRule="auto"/>
        <w:jc w:val="both"/>
        <w:rPr>
          <w:rFonts w:ascii="Arial" w:eastAsia="Times New Roman" w:hAnsi="Arial" w:cs="Arial"/>
          <w:i/>
          <w:sz w:val="20"/>
          <w:szCs w:val="20"/>
        </w:rPr>
      </w:pPr>
    </w:p>
    <w:p w:rsidR="00D22415" w:rsidRPr="002725ED" w:rsidRDefault="006F075D">
      <w:pPr>
        <w:pStyle w:val="normal0"/>
        <w:spacing w:after="0" w:line="360" w:lineRule="auto"/>
        <w:jc w:val="both"/>
        <w:rPr>
          <w:rFonts w:ascii="Arial" w:eastAsia="Times New Roman" w:hAnsi="Arial" w:cs="Arial"/>
          <w:i/>
          <w:sz w:val="20"/>
          <w:szCs w:val="20"/>
        </w:rPr>
      </w:pPr>
      <w:r w:rsidRPr="002725ED">
        <w:rPr>
          <w:rFonts w:ascii="Arial" w:eastAsia="Times New Roman" w:hAnsi="Arial" w:cs="Arial"/>
          <w:sz w:val="20"/>
          <w:szCs w:val="20"/>
        </w:rPr>
        <w:t>Finalmente, el artículo 65 del Decreto Supremo Nro. 156 – 2004 – EF: “Texto Único Ordenado de la Ley de Tributación Municipal”, textualmente reza: “</w:t>
      </w:r>
      <w:r w:rsidRPr="002725ED">
        <w:rPr>
          <w:rFonts w:ascii="Arial" w:eastAsia="Times New Roman" w:hAnsi="Arial" w:cs="Arial"/>
          <w:i/>
          <w:sz w:val="20"/>
          <w:szCs w:val="20"/>
        </w:rPr>
        <w:t xml:space="preserve">El cobro por contribución especial por obras públicas procederá exclusivamente cuando la Municipalidad haya </w:t>
      </w:r>
      <w:r w:rsidRPr="002725ED">
        <w:rPr>
          <w:rFonts w:ascii="Arial" w:eastAsia="Times New Roman" w:hAnsi="Arial" w:cs="Arial"/>
          <w:i/>
          <w:sz w:val="20"/>
          <w:szCs w:val="20"/>
        </w:rPr>
        <w:t xml:space="preserve">comunicado a los beneficiarios, previamente a la contratación y ejecución de la obra, el monto aproximado al que ascenderá la contribución”. </w:t>
      </w:r>
    </w:p>
    <w:p w:rsidR="00D22415" w:rsidRPr="002725ED" w:rsidRDefault="00D22415">
      <w:pPr>
        <w:pStyle w:val="normal0"/>
        <w:pBdr>
          <w:top w:val="nil"/>
          <w:left w:val="nil"/>
          <w:bottom w:val="nil"/>
          <w:right w:val="nil"/>
          <w:between w:val="nil"/>
        </w:pBdr>
        <w:spacing w:after="0" w:line="276" w:lineRule="auto"/>
        <w:ind w:left="1134"/>
        <w:jc w:val="both"/>
        <w:rPr>
          <w:rFonts w:ascii="Arial" w:eastAsia="Times New Roman" w:hAnsi="Arial" w:cs="Arial"/>
          <w:b/>
          <w:color w:val="000000"/>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La presente norma, bajo los principios de Legalidad, Transparencia, Acceso a la Información Pública y Participaci</w:t>
      </w:r>
      <w:r w:rsidRPr="002725ED">
        <w:rPr>
          <w:rFonts w:ascii="Arial" w:eastAsia="Times New Roman" w:hAnsi="Arial" w:cs="Arial"/>
          <w:sz w:val="20"/>
          <w:szCs w:val="20"/>
        </w:rPr>
        <w:t xml:space="preserve">ón Ciudadana Vecinal, exige previa a la contratación de obra, que el gobierno local, haya comunicado el valor aproximado a recaudar por concepto de la contribución especial, a los beneficiarios de la obra pública; Para tal efecto, mediante </w:t>
      </w:r>
      <w:r w:rsidRPr="002725ED">
        <w:rPr>
          <w:rFonts w:ascii="Arial" w:eastAsia="Times New Roman" w:hAnsi="Arial" w:cs="Arial"/>
          <w:sz w:val="20"/>
          <w:szCs w:val="20"/>
        </w:rPr>
        <w:lastRenderedPageBreak/>
        <w:t>Decreto de Alcal</w:t>
      </w:r>
      <w:r w:rsidRPr="002725ED">
        <w:rPr>
          <w:rFonts w:ascii="Arial" w:eastAsia="Times New Roman" w:hAnsi="Arial" w:cs="Arial"/>
          <w:sz w:val="20"/>
          <w:szCs w:val="20"/>
        </w:rPr>
        <w:t>día que reglamenta la ordenanza tributaria, se comunicará los detalles de la obra, su costo y financiamiento vía contribución. Así mismo, resulta factible, que mediante Cabildo Abierto (Artículo 119 de la Ley Orgánica de Municipalidades), se permita el con</w:t>
      </w:r>
      <w:r w:rsidRPr="002725ED">
        <w:rPr>
          <w:rFonts w:ascii="Arial" w:eastAsia="Times New Roman" w:hAnsi="Arial" w:cs="Arial"/>
          <w:sz w:val="20"/>
          <w:szCs w:val="20"/>
        </w:rPr>
        <w:t xml:space="preserve">ocimiento de la obra pública a la población vecinal. </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numPr>
          <w:ilvl w:val="0"/>
          <w:numId w:val="2"/>
        </w:numPr>
        <w:pBdr>
          <w:top w:val="nil"/>
          <w:left w:val="nil"/>
          <w:bottom w:val="nil"/>
          <w:right w:val="nil"/>
          <w:between w:val="nil"/>
        </w:pBdr>
        <w:spacing w:after="0" w:line="360" w:lineRule="auto"/>
        <w:jc w:val="both"/>
        <w:rPr>
          <w:rFonts w:ascii="Arial" w:hAnsi="Arial" w:cs="Arial"/>
          <w:color w:val="000000"/>
          <w:sz w:val="20"/>
          <w:szCs w:val="20"/>
        </w:rPr>
      </w:pPr>
      <w:r w:rsidRPr="002725ED">
        <w:rPr>
          <w:rFonts w:ascii="Arial" w:eastAsia="Times New Roman" w:hAnsi="Arial" w:cs="Arial"/>
          <w:b/>
          <w:color w:val="000000"/>
          <w:sz w:val="20"/>
          <w:szCs w:val="20"/>
          <w:u w:val="single"/>
        </w:rPr>
        <w:t>EL HECHO IMPONIBLE DE LA CONTRIBUCIÓN</w:t>
      </w:r>
      <w:r w:rsidRPr="002725ED">
        <w:rPr>
          <w:rFonts w:ascii="Arial" w:eastAsia="Times New Roman" w:hAnsi="Arial" w:cs="Arial"/>
          <w:b/>
          <w:color w:val="000000"/>
          <w:sz w:val="20"/>
          <w:szCs w:val="20"/>
        </w:rPr>
        <w:t xml:space="preserve">: </w:t>
      </w:r>
    </w:p>
    <w:p w:rsidR="00D22415" w:rsidRPr="002725ED" w:rsidRDefault="00D22415">
      <w:pPr>
        <w:pStyle w:val="normal0"/>
        <w:tabs>
          <w:tab w:val="left" w:pos="2285"/>
        </w:tabs>
        <w:spacing w:after="0" w:line="276" w:lineRule="auto"/>
        <w:jc w:val="both"/>
        <w:rPr>
          <w:rFonts w:ascii="Arial" w:eastAsia="Times New Roman" w:hAnsi="Arial" w:cs="Arial"/>
          <w:b/>
          <w:sz w:val="20"/>
          <w:szCs w:val="20"/>
        </w:rPr>
      </w:pPr>
    </w:p>
    <w:p w:rsidR="00D22415" w:rsidRPr="002725ED" w:rsidRDefault="006F075D">
      <w:pPr>
        <w:pStyle w:val="normal0"/>
        <w:tabs>
          <w:tab w:val="left" w:pos="2285"/>
        </w:tabs>
        <w:spacing w:after="0" w:line="360" w:lineRule="auto"/>
        <w:jc w:val="both"/>
        <w:rPr>
          <w:rFonts w:ascii="Arial" w:eastAsia="Times New Roman" w:hAnsi="Arial" w:cs="Arial"/>
          <w:i/>
          <w:sz w:val="20"/>
          <w:szCs w:val="20"/>
        </w:rPr>
      </w:pPr>
      <w:r w:rsidRPr="002725ED">
        <w:rPr>
          <w:rFonts w:ascii="Arial" w:eastAsia="Times New Roman" w:hAnsi="Arial" w:cs="Arial"/>
          <w:sz w:val="20"/>
          <w:szCs w:val="20"/>
        </w:rPr>
        <w:t>La</w:t>
      </w:r>
      <w:r w:rsidRPr="002725ED">
        <w:rPr>
          <w:rFonts w:ascii="Arial" w:eastAsia="Times New Roman" w:hAnsi="Arial" w:cs="Arial"/>
          <w:b/>
          <w:sz w:val="20"/>
          <w:szCs w:val="20"/>
        </w:rPr>
        <w:t xml:space="preserve"> </w:t>
      </w:r>
      <w:r w:rsidRPr="002725ED">
        <w:rPr>
          <w:rFonts w:ascii="Arial" w:eastAsia="Times New Roman" w:hAnsi="Arial" w:cs="Arial"/>
          <w:sz w:val="20"/>
          <w:szCs w:val="20"/>
        </w:rPr>
        <w:t>Ordenanza N° 1790 – 2014, de fecha 13 de julio de 2014, emitido por la Municipalidad Metropolitana de Lima, mediante su artículo 5) estableció el siguiente criterio técnico legal, para determinar el hecho imponible de la Contribución por Obras Públicas</w:t>
      </w:r>
      <w:proofErr w:type="gramStart"/>
      <w:r w:rsidRPr="002725ED">
        <w:rPr>
          <w:rFonts w:ascii="Arial" w:eastAsia="Times New Roman" w:hAnsi="Arial" w:cs="Arial"/>
          <w:sz w:val="20"/>
          <w:szCs w:val="20"/>
        </w:rPr>
        <w:t xml:space="preserve">:  </w:t>
      </w:r>
      <w:r w:rsidRPr="002725ED">
        <w:rPr>
          <w:rFonts w:ascii="Arial" w:eastAsia="Times New Roman" w:hAnsi="Arial" w:cs="Arial"/>
          <w:i/>
          <w:sz w:val="20"/>
          <w:szCs w:val="20"/>
        </w:rPr>
        <w:t>“</w:t>
      </w:r>
      <w:proofErr w:type="gramEnd"/>
      <w:r w:rsidRPr="002725ED">
        <w:rPr>
          <w:rFonts w:ascii="Arial" w:eastAsia="Times New Roman" w:hAnsi="Arial" w:cs="Arial"/>
          <w:i/>
          <w:sz w:val="20"/>
          <w:szCs w:val="20"/>
        </w:rPr>
        <w:t xml:space="preserve">Es el mayor valor que adquieren los predios ubicados dentro de la Zona de Beneficio por la ejecución de Obras Municipales está afecto a la Contribución Especial de Obras Públicas”. </w:t>
      </w:r>
      <w:r w:rsidRPr="002725ED">
        <w:rPr>
          <w:rFonts w:ascii="Arial" w:eastAsia="Times New Roman" w:hAnsi="Arial" w:cs="Arial"/>
          <w:sz w:val="20"/>
          <w:szCs w:val="20"/>
        </w:rPr>
        <w:t>Así mismo, el artículo 6) de la citada ordenanza municipal precisa: “</w:t>
      </w:r>
      <w:r w:rsidRPr="002725ED">
        <w:rPr>
          <w:rFonts w:ascii="Arial" w:eastAsia="Times New Roman" w:hAnsi="Arial" w:cs="Arial"/>
          <w:i/>
          <w:sz w:val="20"/>
          <w:szCs w:val="20"/>
        </w:rPr>
        <w:t>Son su</w:t>
      </w:r>
      <w:r w:rsidRPr="002725ED">
        <w:rPr>
          <w:rFonts w:ascii="Arial" w:eastAsia="Times New Roman" w:hAnsi="Arial" w:cs="Arial"/>
          <w:i/>
          <w:sz w:val="20"/>
          <w:szCs w:val="20"/>
        </w:rPr>
        <w:t>jetos pasivos en calidad de contribuyentes las personas naturales, las sucesiones indivisas, las asociaciones de hecho de profesionales y similares, las sociedades conyugales y las personas jurídicas propietarias de los predios ubicados en la Zona de Benef</w:t>
      </w:r>
      <w:r w:rsidRPr="002725ED">
        <w:rPr>
          <w:rFonts w:ascii="Arial" w:eastAsia="Times New Roman" w:hAnsi="Arial" w:cs="Arial"/>
          <w:i/>
          <w:sz w:val="20"/>
          <w:szCs w:val="20"/>
        </w:rPr>
        <w:t>icio de la Obra Municipal a ejecutarse. De producirse la transferencia de propiedad de un predio ubicado en la Zona de Beneficio, el transferente tiene la obligación de cancelar el íntegro de su Contribución Individual adeudada hasta el último día hábil de</w:t>
      </w:r>
      <w:r w:rsidRPr="002725ED">
        <w:rPr>
          <w:rFonts w:ascii="Arial" w:eastAsia="Times New Roman" w:hAnsi="Arial" w:cs="Arial"/>
          <w:i/>
          <w:sz w:val="20"/>
          <w:szCs w:val="20"/>
        </w:rPr>
        <w:t xml:space="preserve">l mes siguiente de producida la transferencia. El carácter de sujeto pasivo de la Contribución Especial de Obras Públicas en relación a Obras Municipales se atribuirá con arreglo a la situación jurídica configurada en la fecha de la culminación de la Obra </w:t>
      </w:r>
      <w:r w:rsidRPr="002725ED">
        <w:rPr>
          <w:rFonts w:ascii="Arial" w:eastAsia="Times New Roman" w:hAnsi="Arial" w:cs="Arial"/>
          <w:i/>
          <w:sz w:val="20"/>
          <w:szCs w:val="20"/>
        </w:rPr>
        <w:t>Municipal”.</w:t>
      </w:r>
    </w:p>
    <w:p w:rsidR="00D22415" w:rsidRPr="002725ED" w:rsidRDefault="00D22415">
      <w:pPr>
        <w:pStyle w:val="normal0"/>
        <w:tabs>
          <w:tab w:val="left" w:pos="2285"/>
        </w:tabs>
        <w:spacing w:after="0" w:line="360" w:lineRule="auto"/>
        <w:jc w:val="both"/>
        <w:rPr>
          <w:rFonts w:ascii="Arial" w:eastAsia="Times New Roman" w:hAnsi="Arial" w:cs="Arial"/>
          <w:i/>
          <w:sz w:val="20"/>
          <w:szCs w:val="20"/>
        </w:rPr>
      </w:pPr>
    </w:p>
    <w:p w:rsidR="00D22415" w:rsidRPr="002725ED" w:rsidRDefault="006F075D">
      <w:pPr>
        <w:pStyle w:val="normal0"/>
        <w:tabs>
          <w:tab w:val="left" w:pos="2285"/>
        </w:tabs>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Al respecto, la base imponible será el incremento de valor de las propiedades beneficiadas, entiéndase, propiedades en la zona de beneficio de la obra pública. Así mismo, el incremento de valor será reflejado en el próximo ejercicio fiscal, en</w:t>
      </w:r>
      <w:r w:rsidRPr="002725ED">
        <w:rPr>
          <w:rFonts w:ascii="Arial" w:eastAsia="Times New Roman" w:hAnsi="Arial" w:cs="Arial"/>
          <w:sz w:val="20"/>
          <w:szCs w:val="20"/>
        </w:rPr>
        <w:t xml:space="preserve">tiéndase, al término de la obra pública, </w:t>
      </w:r>
    </w:p>
    <w:p w:rsidR="00D22415" w:rsidRPr="002725ED" w:rsidRDefault="006F075D">
      <w:pPr>
        <w:pStyle w:val="normal0"/>
        <w:tabs>
          <w:tab w:val="left" w:pos="2285"/>
        </w:tabs>
        <w:spacing w:after="0" w:line="360" w:lineRule="auto"/>
        <w:jc w:val="both"/>
        <w:rPr>
          <w:rFonts w:ascii="Arial" w:eastAsia="Times New Roman" w:hAnsi="Arial" w:cs="Arial"/>
          <w:sz w:val="20"/>
          <w:szCs w:val="20"/>
        </w:rPr>
      </w:pPr>
      <w:proofErr w:type="gramStart"/>
      <w:r w:rsidRPr="002725ED">
        <w:rPr>
          <w:rFonts w:ascii="Arial" w:eastAsia="Times New Roman" w:hAnsi="Arial" w:cs="Arial"/>
          <w:sz w:val="20"/>
          <w:szCs w:val="20"/>
        </w:rPr>
        <w:t>en</w:t>
      </w:r>
      <w:proofErr w:type="gramEnd"/>
      <w:r w:rsidRPr="002725ED">
        <w:rPr>
          <w:rFonts w:ascii="Arial" w:eastAsia="Times New Roman" w:hAnsi="Arial" w:cs="Arial"/>
          <w:sz w:val="20"/>
          <w:szCs w:val="20"/>
        </w:rPr>
        <w:t xml:space="preserve"> la respectiva Hoja de Resumen (HR), la cual contiene el valor de </w:t>
      </w:r>
      <w:proofErr w:type="spellStart"/>
      <w:r w:rsidRPr="002725ED">
        <w:rPr>
          <w:rFonts w:ascii="Arial" w:eastAsia="Times New Roman" w:hAnsi="Arial" w:cs="Arial"/>
          <w:sz w:val="20"/>
          <w:szCs w:val="20"/>
        </w:rPr>
        <w:t>autovaluo</w:t>
      </w:r>
      <w:proofErr w:type="spellEnd"/>
      <w:r w:rsidRPr="002725ED">
        <w:rPr>
          <w:rFonts w:ascii="Arial" w:eastAsia="Times New Roman" w:hAnsi="Arial" w:cs="Arial"/>
          <w:sz w:val="20"/>
          <w:szCs w:val="20"/>
        </w:rPr>
        <w:t>. Finalmente, serán sujetos obligados al pago de la contribución especial, los propietarios de los bienes inmuebles ubicados en la zona d</w:t>
      </w:r>
      <w:r w:rsidRPr="002725ED">
        <w:rPr>
          <w:rFonts w:ascii="Arial" w:eastAsia="Times New Roman" w:hAnsi="Arial" w:cs="Arial"/>
          <w:sz w:val="20"/>
          <w:szCs w:val="20"/>
        </w:rPr>
        <w:t xml:space="preserve">e beneficio. </w:t>
      </w:r>
    </w:p>
    <w:p w:rsidR="00D22415" w:rsidRPr="002725ED" w:rsidRDefault="00D22415">
      <w:pPr>
        <w:pStyle w:val="normal0"/>
        <w:tabs>
          <w:tab w:val="left" w:pos="2285"/>
        </w:tabs>
        <w:spacing w:after="0" w:line="360" w:lineRule="auto"/>
        <w:jc w:val="both"/>
        <w:rPr>
          <w:rFonts w:ascii="Arial" w:eastAsia="Times New Roman" w:hAnsi="Arial" w:cs="Arial"/>
          <w:sz w:val="20"/>
          <w:szCs w:val="20"/>
        </w:rPr>
      </w:pPr>
    </w:p>
    <w:p w:rsidR="00D22415" w:rsidRPr="002725ED" w:rsidRDefault="006F075D">
      <w:pPr>
        <w:pStyle w:val="normal0"/>
        <w:numPr>
          <w:ilvl w:val="0"/>
          <w:numId w:val="2"/>
        </w:numPr>
        <w:pBdr>
          <w:top w:val="nil"/>
          <w:left w:val="nil"/>
          <w:bottom w:val="nil"/>
          <w:right w:val="nil"/>
          <w:between w:val="nil"/>
        </w:pBdr>
        <w:spacing w:after="0" w:line="276" w:lineRule="auto"/>
        <w:jc w:val="both"/>
        <w:rPr>
          <w:rFonts w:ascii="Arial" w:hAnsi="Arial" w:cs="Arial"/>
          <w:color w:val="000000"/>
          <w:sz w:val="20"/>
          <w:szCs w:val="20"/>
        </w:rPr>
      </w:pPr>
      <w:r w:rsidRPr="002725ED">
        <w:rPr>
          <w:rFonts w:ascii="Arial" w:eastAsia="Times New Roman" w:hAnsi="Arial" w:cs="Arial"/>
          <w:b/>
          <w:color w:val="000000"/>
          <w:sz w:val="20"/>
          <w:szCs w:val="20"/>
          <w:u w:val="single"/>
        </w:rPr>
        <w:t>CONCLUSIONES</w:t>
      </w:r>
      <w:r w:rsidRPr="002725ED">
        <w:rPr>
          <w:rFonts w:ascii="Arial" w:eastAsia="Times New Roman" w:hAnsi="Arial" w:cs="Arial"/>
          <w:b/>
          <w:color w:val="000000"/>
          <w:sz w:val="20"/>
          <w:szCs w:val="20"/>
        </w:rPr>
        <w:t xml:space="preserve">: </w:t>
      </w:r>
    </w:p>
    <w:p w:rsidR="00D22415" w:rsidRPr="002725ED" w:rsidRDefault="00D22415">
      <w:pPr>
        <w:pStyle w:val="normal0"/>
        <w:spacing w:after="0" w:line="276" w:lineRule="auto"/>
        <w:jc w:val="both"/>
        <w:rPr>
          <w:rFonts w:ascii="Arial" w:eastAsia="Times New Roman" w:hAnsi="Arial" w:cs="Arial"/>
          <w:b/>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La Contribución es el recurso tributario, qué de manera subsidiaria, permite la financiación y ejecución de obras públicas municipales, por parte de la población edil; En tal sentido, su creación y reglamentación deberá respetar los Principios Constitucion</w:t>
      </w:r>
      <w:r w:rsidRPr="002725ED">
        <w:rPr>
          <w:rFonts w:ascii="Arial" w:eastAsia="Times New Roman" w:hAnsi="Arial" w:cs="Arial"/>
          <w:sz w:val="20"/>
          <w:szCs w:val="20"/>
        </w:rPr>
        <w:t xml:space="preserve">ales de la Imposición (Legalidad, Reserva de la Ley, Generalidad, Igualdad, No </w:t>
      </w:r>
      <w:proofErr w:type="spellStart"/>
      <w:r w:rsidRPr="002725ED">
        <w:rPr>
          <w:rFonts w:ascii="Arial" w:eastAsia="Times New Roman" w:hAnsi="Arial" w:cs="Arial"/>
          <w:sz w:val="20"/>
          <w:szCs w:val="20"/>
        </w:rPr>
        <w:t>Confiscatoriedad</w:t>
      </w:r>
      <w:proofErr w:type="spellEnd"/>
      <w:r w:rsidRPr="002725ED">
        <w:rPr>
          <w:rFonts w:ascii="Arial" w:eastAsia="Times New Roman" w:hAnsi="Arial" w:cs="Arial"/>
          <w:sz w:val="20"/>
          <w:szCs w:val="20"/>
        </w:rPr>
        <w:t>), entiéndase, límites de la Potestad Tributaria Municipal y Regional.</w:t>
      </w:r>
    </w:p>
    <w:p w:rsidR="00D22415" w:rsidRPr="002725ED" w:rsidRDefault="00D22415">
      <w:pPr>
        <w:pStyle w:val="normal0"/>
        <w:spacing w:after="0" w:line="360"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sz w:val="20"/>
          <w:szCs w:val="20"/>
        </w:rPr>
      </w:pPr>
      <w:r w:rsidRPr="002725ED">
        <w:rPr>
          <w:rFonts w:ascii="Arial" w:eastAsia="Times New Roman" w:hAnsi="Arial" w:cs="Arial"/>
          <w:sz w:val="20"/>
          <w:szCs w:val="20"/>
        </w:rPr>
        <w:t>La plusvalía de los predios situados en la zona de beneficio, incentivan a los contribuye</w:t>
      </w:r>
      <w:r w:rsidRPr="002725ED">
        <w:rPr>
          <w:rFonts w:ascii="Arial" w:eastAsia="Times New Roman" w:hAnsi="Arial" w:cs="Arial"/>
          <w:sz w:val="20"/>
          <w:szCs w:val="20"/>
        </w:rPr>
        <w:t xml:space="preserve">ntes municipales, el pago del tributo; Así mismo, el conocimiento público, de los costos de la </w:t>
      </w:r>
      <w:r w:rsidRPr="002725ED">
        <w:rPr>
          <w:rFonts w:ascii="Arial" w:eastAsia="Times New Roman" w:hAnsi="Arial" w:cs="Arial"/>
          <w:sz w:val="20"/>
          <w:szCs w:val="20"/>
        </w:rPr>
        <w:lastRenderedPageBreak/>
        <w:t xml:space="preserve">ejecución de la obra pública y su beneficio económico directo, fomentan el cumplimiento de la obligación tributaria, mitigando la evasión fiscal y las costas de </w:t>
      </w:r>
      <w:r w:rsidRPr="002725ED">
        <w:rPr>
          <w:rFonts w:ascii="Arial" w:eastAsia="Times New Roman" w:hAnsi="Arial" w:cs="Arial"/>
          <w:sz w:val="20"/>
          <w:szCs w:val="20"/>
        </w:rPr>
        <w:t xml:space="preserve">la cobranza coactiva. </w:t>
      </w:r>
    </w:p>
    <w:p w:rsidR="00D22415" w:rsidRPr="002725ED" w:rsidRDefault="00D22415">
      <w:pPr>
        <w:pStyle w:val="normal0"/>
        <w:spacing w:after="0" w:line="276" w:lineRule="auto"/>
        <w:jc w:val="both"/>
        <w:rPr>
          <w:rFonts w:ascii="Arial" w:eastAsia="Times New Roman" w:hAnsi="Arial" w:cs="Arial"/>
          <w:sz w:val="20"/>
          <w:szCs w:val="20"/>
        </w:rPr>
      </w:pPr>
    </w:p>
    <w:p w:rsidR="00D22415" w:rsidRPr="002725ED" w:rsidRDefault="006F075D">
      <w:pPr>
        <w:pStyle w:val="normal0"/>
        <w:spacing w:after="0" w:line="360" w:lineRule="auto"/>
        <w:jc w:val="both"/>
        <w:rPr>
          <w:rFonts w:ascii="Arial" w:eastAsia="Times New Roman" w:hAnsi="Arial" w:cs="Arial"/>
          <w:b/>
          <w:sz w:val="20"/>
          <w:szCs w:val="20"/>
        </w:rPr>
      </w:pPr>
      <w:r w:rsidRPr="002725ED">
        <w:rPr>
          <w:rFonts w:ascii="Arial" w:eastAsia="Times New Roman" w:hAnsi="Arial" w:cs="Arial"/>
          <w:sz w:val="20"/>
          <w:szCs w:val="20"/>
        </w:rPr>
        <w:t>La obligación de pago devengará una vez reglamentada la ordenanza tributaria, así mismo, publicitada los costos aproximados de la obra pública, entiéndase, a los titulares de los predios ubicados en la zona de beneficio; En tal sent</w:t>
      </w:r>
      <w:r w:rsidRPr="002725ED">
        <w:rPr>
          <w:rFonts w:ascii="Arial" w:eastAsia="Times New Roman" w:hAnsi="Arial" w:cs="Arial"/>
          <w:sz w:val="20"/>
          <w:szCs w:val="20"/>
        </w:rPr>
        <w:t>ido, los contribuyentes, deberán tomar conocimiento de los costos de la obra, antes de la celebración de contrato de construcción, remodelación y/o ampliación de obra pública. Así mismo, la base imponible para la determinación de la obligación tributaria s</w:t>
      </w:r>
      <w:r w:rsidRPr="002725ED">
        <w:rPr>
          <w:rFonts w:ascii="Arial" w:eastAsia="Times New Roman" w:hAnsi="Arial" w:cs="Arial"/>
          <w:sz w:val="20"/>
          <w:szCs w:val="20"/>
        </w:rPr>
        <w:t xml:space="preserve">erá el incremento de valor de la propiedad del contribuyente. </w:t>
      </w:r>
    </w:p>
    <w:p w:rsidR="00D22415" w:rsidRPr="002725ED" w:rsidRDefault="00D22415">
      <w:pPr>
        <w:pStyle w:val="normal0"/>
        <w:spacing w:after="0" w:line="276" w:lineRule="auto"/>
        <w:jc w:val="both"/>
        <w:rPr>
          <w:rFonts w:ascii="Arial" w:eastAsia="Times New Roman" w:hAnsi="Arial" w:cs="Arial"/>
          <w:b/>
          <w:sz w:val="20"/>
          <w:szCs w:val="20"/>
        </w:rPr>
      </w:pPr>
      <w:bookmarkStart w:id="0" w:name="_gjdgxs" w:colFirst="0" w:colLast="0"/>
      <w:bookmarkEnd w:id="0"/>
    </w:p>
    <w:p w:rsidR="00D22415" w:rsidRPr="002725ED" w:rsidRDefault="00D22415">
      <w:pPr>
        <w:pStyle w:val="normal0"/>
        <w:pBdr>
          <w:top w:val="nil"/>
          <w:left w:val="nil"/>
          <w:bottom w:val="nil"/>
          <w:right w:val="nil"/>
          <w:between w:val="nil"/>
        </w:pBdr>
        <w:spacing w:after="0" w:line="276" w:lineRule="auto"/>
        <w:ind w:left="567"/>
        <w:jc w:val="both"/>
        <w:rPr>
          <w:rFonts w:ascii="Arial" w:eastAsia="Times New Roman" w:hAnsi="Arial" w:cs="Arial"/>
          <w:b/>
          <w:color w:val="000000"/>
          <w:sz w:val="20"/>
          <w:szCs w:val="20"/>
        </w:rPr>
      </w:pPr>
    </w:p>
    <w:p w:rsidR="00D22415" w:rsidRPr="002725ED" w:rsidRDefault="006F075D">
      <w:pPr>
        <w:pStyle w:val="normal0"/>
        <w:numPr>
          <w:ilvl w:val="0"/>
          <w:numId w:val="2"/>
        </w:numPr>
        <w:pBdr>
          <w:top w:val="nil"/>
          <w:left w:val="nil"/>
          <w:bottom w:val="nil"/>
          <w:right w:val="nil"/>
          <w:between w:val="nil"/>
        </w:pBdr>
        <w:spacing w:line="276" w:lineRule="auto"/>
        <w:rPr>
          <w:rFonts w:ascii="Arial" w:hAnsi="Arial" w:cs="Arial"/>
          <w:color w:val="000000"/>
          <w:sz w:val="20"/>
          <w:szCs w:val="20"/>
        </w:rPr>
      </w:pPr>
      <w:r w:rsidRPr="002725ED">
        <w:rPr>
          <w:rFonts w:ascii="Arial" w:eastAsia="Times New Roman" w:hAnsi="Arial" w:cs="Arial"/>
          <w:b/>
          <w:color w:val="000000"/>
          <w:sz w:val="20"/>
          <w:szCs w:val="20"/>
          <w:u w:val="single"/>
        </w:rPr>
        <w:t>FUENTES DE INFORMACIÓN</w:t>
      </w:r>
      <w:r w:rsidRPr="002725ED">
        <w:rPr>
          <w:rFonts w:ascii="Arial" w:eastAsia="Times New Roman" w:hAnsi="Arial" w:cs="Arial"/>
          <w:b/>
          <w:color w:val="000000"/>
          <w:sz w:val="20"/>
          <w:szCs w:val="20"/>
        </w:rPr>
        <w:t xml:space="preserve">: </w:t>
      </w:r>
    </w:p>
    <w:p w:rsidR="00D22415" w:rsidRPr="002725ED" w:rsidRDefault="00D22415">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ATALIBA, Geraldo: “Hipótesis de Incidencia Tributaria”.  Instituto Peruano de Derecho Tributario, Lima, 1987.</w:t>
      </w:r>
    </w:p>
    <w:p w:rsidR="00D22415" w:rsidRPr="002725ED" w:rsidRDefault="00D22415">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 xml:space="preserve">CARRIÓN BENITES, Jorge Luis: “Los Tributos Parafiscales de la Comunidad Andina”, Corporación Editora Nacional, Quito 2,012. </w:t>
      </w:r>
    </w:p>
    <w:p w:rsidR="00D22415" w:rsidRPr="002725ED" w:rsidRDefault="00D22415">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 xml:space="preserve">DEL JUANO, Manuel: “Curso de Finanzas y Derecho Tributario”, Tomo I: Parte General, Ediciones </w:t>
      </w:r>
      <w:proofErr w:type="spellStart"/>
      <w:r w:rsidRPr="002725ED">
        <w:rPr>
          <w:rFonts w:ascii="Arial" w:eastAsia="Times New Roman" w:hAnsi="Arial" w:cs="Arial"/>
          <w:color w:val="000000"/>
          <w:sz w:val="20"/>
          <w:szCs w:val="20"/>
        </w:rPr>
        <w:t>Molachino</w:t>
      </w:r>
      <w:proofErr w:type="spellEnd"/>
      <w:r w:rsidRPr="002725ED">
        <w:rPr>
          <w:rFonts w:ascii="Arial" w:eastAsia="Times New Roman" w:hAnsi="Arial" w:cs="Arial"/>
          <w:color w:val="000000"/>
          <w:sz w:val="20"/>
          <w:szCs w:val="20"/>
        </w:rPr>
        <w:t xml:space="preserve">, Rosario, 1969. </w:t>
      </w:r>
    </w:p>
    <w:p w:rsidR="00D22415" w:rsidRPr="002725ED" w:rsidRDefault="00D22415">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DE LA GA</w:t>
      </w:r>
      <w:r w:rsidRPr="002725ED">
        <w:rPr>
          <w:rFonts w:ascii="Arial" w:eastAsia="Times New Roman" w:hAnsi="Arial" w:cs="Arial"/>
          <w:color w:val="000000"/>
          <w:sz w:val="20"/>
          <w:szCs w:val="20"/>
        </w:rPr>
        <w:t xml:space="preserve">RZA, Sergio Francisco: “Derecho Financiero Mexicano, Editorial Porrúa, México, 2,008. </w:t>
      </w:r>
    </w:p>
    <w:p w:rsidR="00D22415" w:rsidRPr="002725ED" w:rsidRDefault="00D22415">
      <w:pPr>
        <w:pStyle w:val="normal0"/>
        <w:jc w:val="both"/>
        <w:rPr>
          <w:rFonts w:ascii="Arial" w:eastAsia="Times New Roman" w:hAnsi="Arial" w:cs="Arial"/>
          <w:sz w:val="20"/>
          <w:szCs w:val="20"/>
        </w:rPr>
      </w:pPr>
    </w:p>
    <w:p w:rsidR="00D22415" w:rsidRPr="002725ED" w:rsidRDefault="006F075D">
      <w:pPr>
        <w:pStyle w:val="normal0"/>
        <w:jc w:val="both"/>
        <w:rPr>
          <w:rFonts w:ascii="Arial" w:eastAsia="Times New Roman" w:hAnsi="Arial" w:cs="Arial"/>
          <w:sz w:val="20"/>
          <w:szCs w:val="20"/>
        </w:rPr>
      </w:pPr>
      <w:r w:rsidRPr="002725ED">
        <w:rPr>
          <w:rFonts w:ascii="Arial" w:eastAsia="Times New Roman" w:hAnsi="Arial" w:cs="Arial"/>
          <w:sz w:val="20"/>
          <w:szCs w:val="20"/>
        </w:rPr>
        <w:t xml:space="preserve">FONROUGE, </w:t>
      </w:r>
      <w:proofErr w:type="spellStart"/>
      <w:r w:rsidRPr="002725ED">
        <w:rPr>
          <w:rFonts w:ascii="Arial" w:eastAsia="Times New Roman" w:hAnsi="Arial" w:cs="Arial"/>
          <w:sz w:val="20"/>
          <w:szCs w:val="20"/>
        </w:rPr>
        <w:t>Giuliani</w:t>
      </w:r>
      <w:proofErr w:type="spellEnd"/>
      <w:r w:rsidRPr="002725ED">
        <w:rPr>
          <w:rFonts w:ascii="Arial" w:eastAsia="Times New Roman" w:hAnsi="Arial" w:cs="Arial"/>
          <w:sz w:val="20"/>
          <w:szCs w:val="20"/>
        </w:rPr>
        <w:t>: “Derecho Financiero Volumen I”. Editorial De Palma, Buenos Aires, 1986.</w:t>
      </w: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MARTÍN DELGADO, José María: “Derecho Financiero y Derecho Fundamentales” Uni</w:t>
      </w:r>
      <w:r w:rsidRPr="002725ED">
        <w:rPr>
          <w:rFonts w:ascii="Arial" w:eastAsia="Times New Roman" w:hAnsi="Arial" w:cs="Arial"/>
          <w:color w:val="000000"/>
          <w:sz w:val="20"/>
          <w:szCs w:val="20"/>
        </w:rPr>
        <w:t xml:space="preserve">versidad de Málaga, Málaga, 2,010. </w:t>
      </w:r>
    </w:p>
    <w:p w:rsidR="00D22415" w:rsidRPr="002725ED" w:rsidRDefault="00D22415">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VILLEGAS, Héctor: “Curso de Finanzas, Derecho Financiero y Tributario”. Ediciones De Palma, Buenos Aires, 1997.</w:t>
      </w:r>
    </w:p>
    <w:p w:rsidR="00D22415" w:rsidRPr="002725ED" w:rsidRDefault="00D22415">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 xml:space="preserve">MABARAK CERECEDO, </w:t>
      </w:r>
      <w:proofErr w:type="spellStart"/>
      <w:r w:rsidRPr="002725ED">
        <w:rPr>
          <w:rFonts w:ascii="Arial" w:eastAsia="Times New Roman" w:hAnsi="Arial" w:cs="Arial"/>
          <w:color w:val="000000"/>
          <w:sz w:val="20"/>
          <w:szCs w:val="20"/>
        </w:rPr>
        <w:t>Doricela</w:t>
      </w:r>
      <w:proofErr w:type="spellEnd"/>
      <w:r w:rsidRPr="002725ED">
        <w:rPr>
          <w:rFonts w:ascii="Arial" w:eastAsia="Times New Roman" w:hAnsi="Arial" w:cs="Arial"/>
          <w:color w:val="000000"/>
          <w:sz w:val="20"/>
          <w:szCs w:val="20"/>
        </w:rPr>
        <w:t>, Derecho financiero público, McGraw-Hill, 2ª ed., México, 2000, p. 63.</w:t>
      </w:r>
    </w:p>
    <w:p w:rsidR="00D22415" w:rsidRPr="002725ED" w:rsidRDefault="00D22415">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 xml:space="preserve">OJEDA HIDALGO Álvaro, Artículo “La Contribución Especial (Un tributo complejo)”. </w:t>
      </w:r>
      <w:hyperlink r:id="rId7">
        <w:r w:rsidRPr="002725ED">
          <w:rPr>
            <w:rFonts w:ascii="Arial" w:eastAsia="Times New Roman" w:hAnsi="Arial" w:cs="Arial"/>
            <w:color w:val="000000"/>
            <w:sz w:val="20"/>
            <w:szCs w:val="20"/>
          </w:rPr>
          <w:t>file:///D:/Data/Downloads/560-Texto%20del%20art%C3%ADculo-983-1-10-20160823.pdf</w:t>
        </w:r>
      </w:hyperlink>
    </w:p>
    <w:p w:rsidR="00D22415" w:rsidRPr="002725ED" w:rsidRDefault="00D22415">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p>
    <w:p w:rsidR="00D22415" w:rsidRPr="002725ED" w:rsidRDefault="006F075D">
      <w:pPr>
        <w:pStyle w:val="normal0"/>
        <w:pBdr>
          <w:top w:val="nil"/>
          <w:left w:val="nil"/>
          <w:bottom w:val="nil"/>
          <w:right w:val="nil"/>
          <w:between w:val="nil"/>
        </w:pBdr>
        <w:spacing w:after="0" w:line="240" w:lineRule="auto"/>
        <w:jc w:val="both"/>
        <w:rPr>
          <w:rFonts w:ascii="Arial" w:eastAsia="Times New Roman" w:hAnsi="Arial" w:cs="Arial"/>
          <w:color w:val="000000"/>
          <w:sz w:val="20"/>
          <w:szCs w:val="20"/>
        </w:rPr>
      </w:pPr>
      <w:r w:rsidRPr="002725ED">
        <w:rPr>
          <w:rFonts w:ascii="Arial" w:eastAsia="Times New Roman" w:hAnsi="Arial" w:cs="Arial"/>
          <w:color w:val="000000"/>
          <w:sz w:val="20"/>
          <w:szCs w:val="20"/>
        </w:rPr>
        <w:t>VALDEZ COSTA, Ramón: Curso de Derecho Tributario, Editorial Monte</w:t>
      </w:r>
      <w:r w:rsidRPr="002725ED">
        <w:rPr>
          <w:rFonts w:ascii="Arial" w:eastAsia="Times New Roman" w:hAnsi="Arial" w:cs="Arial"/>
          <w:color w:val="000000"/>
          <w:sz w:val="20"/>
          <w:szCs w:val="20"/>
        </w:rPr>
        <w:t xml:space="preserve">video, Buenos Aires, Cuarta Edición, 2,013. </w:t>
      </w:r>
    </w:p>
    <w:p w:rsidR="00D22415" w:rsidRPr="002725ED" w:rsidRDefault="00D22415">
      <w:pPr>
        <w:pStyle w:val="normal0"/>
        <w:spacing w:line="276" w:lineRule="auto"/>
        <w:rPr>
          <w:rFonts w:ascii="Arial" w:eastAsia="Times New Roman" w:hAnsi="Arial" w:cs="Arial"/>
          <w:b/>
          <w:sz w:val="20"/>
          <w:szCs w:val="20"/>
        </w:rPr>
      </w:pPr>
    </w:p>
    <w:p w:rsidR="00D22415" w:rsidRPr="002725ED" w:rsidRDefault="006F075D">
      <w:pPr>
        <w:pStyle w:val="normal0"/>
        <w:numPr>
          <w:ilvl w:val="0"/>
          <w:numId w:val="1"/>
        </w:numPr>
        <w:pBdr>
          <w:top w:val="nil"/>
          <w:left w:val="nil"/>
          <w:bottom w:val="nil"/>
          <w:right w:val="nil"/>
          <w:between w:val="nil"/>
        </w:pBdr>
        <w:spacing w:after="0" w:line="276" w:lineRule="auto"/>
        <w:ind w:left="567" w:hanging="567"/>
        <w:jc w:val="both"/>
        <w:rPr>
          <w:rFonts w:ascii="Arial" w:hAnsi="Arial" w:cs="Arial"/>
          <w:b/>
          <w:color w:val="000000"/>
          <w:sz w:val="20"/>
          <w:szCs w:val="20"/>
        </w:rPr>
      </w:pPr>
      <w:r w:rsidRPr="002725ED">
        <w:rPr>
          <w:rFonts w:ascii="Arial" w:eastAsia="Times New Roman" w:hAnsi="Arial" w:cs="Arial"/>
          <w:color w:val="000000"/>
          <w:sz w:val="20"/>
          <w:szCs w:val="20"/>
        </w:rPr>
        <w:t>Decreto Supremo Nro. 133 – 2013 – EF: “Texto Único Ordenado del Código Tributario”</w:t>
      </w:r>
    </w:p>
    <w:p w:rsidR="00D22415" w:rsidRPr="002725ED" w:rsidRDefault="006F075D">
      <w:pPr>
        <w:pStyle w:val="normal0"/>
        <w:numPr>
          <w:ilvl w:val="0"/>
          <w:numId w:val="1"/>
        </w:numPr>
        <w:pBdr>
          <w:top w:val="nil"/>
          <w:left w:val="nil"/>
          <w:bottom w:val="nil"/>
          <w:right w:val="nil"/>
          <w:between w:val="nil"/>
        </w:pBdr>
        <w:spacing w:after="0" w:line="276" w:lineRule="auto"/>
        <w:ind w:left="567" w:hanging="567"/>
        <w:jc w:val="both"/>
        <w:rPr>
          <w:rFonts w:ascii="Arial" w:hAnsi="Arial" w:cs="Arial"/>
          <w:b/>
          <w:color w:val="000000"/>
          <w:sz w:val="20"/>
          <w:szCs w:val="20"/>
        </w:rPr>
      </w:pPr>
      <w:r w:rsidRPr="002725ED">
        <w:rPr>
          <w:rFonts w:ascii="Arial" w:eastAsia="Times New Roman" w:hAnsi="Arial" w:cs="Arial"/>
          <w:color w:val="000000"/>
          <w:sz w:val="20"/>
          <w:szCs w:val="20"/>
        </w:rPr>
        <w:t>Decreto Supremo Nro. 156 – 2004 – EF: “Texto Único Ordenado de la Ley de Tributación Municipal</w:t>
      </w:r>
    </w:p>
    <w:p w:rsidR="00D22415" w:rsidRPr="002725ED" w:rsidRDefault="006F075D">
      <w:pPr>
        <w:pStyle w:val="normal0"/>
        <w:numPr>
          <w:ilvl w:val="0"/>
          <w:numId w:val="1"/>
        </w:numPr>
        <w:pBdr>
          <w:top w:val="nil"/>
          <w:left w:val="nil"/>
          <w:bottom w:val="nil"/>
          <w:right w:val="nil"/>
          <w:between w:val="nil"/>
        </w:pBdr>
        <w:spacing w:after="0" w:line="276" w:lineRule="auto"/>
        <w:ind w:left="567" w:hanging="567"/>
        <w:jc w:val="both"/>
        <w:rPr>
          <w:rFonts w:ascii="Arial" w:hAnsi="Arial" w:cs="Arial"/>
          <w:b/>
          <w:color w:val="000000"/>
          <w:sz w:val="20"/>
          <w:szCs w:val="20"/>
        </w:rPr>
      </w:pPr>
      <w:r w:rsidRPr="002725ED">
        <w:rPr>
          <w:rFonts w:ascii="Arial" w:eastAsia="Times New Roman" w:hAnsi="Arial" w:cs="Arial"/>
          <w:color w:val="000000"/>
          <w:sz w:val="20"/>
          <w:szCs w:val="20"/>
        </w:rPr>
        <w:t>Ordenanza N° 1790 – 2014, de fec</w:t>
      </w:r>
      <w:r w:rsidRPr="002725ED">
        <w:rPr>
          <w:rFonts w:ascii="Arial" w:eastAsia="Times New Roman" w:hAnsi="Arial" w:cs="Arial"/>
          <w:color w:val="000000"/>
          <w:sz w:val="20"/>
          <w:szCs w:val="20"/>
        </w:rPr>
        <w:t>ha 13 de julio de 2014, emitido por la Municipalidad Metropolitana de Lima</w:t>
      </w:r>
    </w:p>
    <w:p w:rsidR="00D22415" w:rsidRPr="002725ED" w:rsidRDefault="006F075D">
      <w:pPr>
        <w:pStyle w:val="normal0"/>
        <w:numPr>
          <w:ilvl w:val="0"/>
          <w:numId w:val="1"/>
        </w:numPr>
        <w:pBdr>
          <w:top w:val="nil"/>
          <w:left w:val="nil"/>
          <w:bottom w:val="nil"/>
          <w:right w:val="nil"/>
          <w:between w:val="nil"/>
        </w:pBdr>
        <w:spacing w:after="0" w:line="276" w:lineRule="auto"/>
        <w:ind w:left="567" w:hanging="567"/>
        <w:jc w:val="both"/>
        <w:rPr>
          <w:rFonts w:ascii="Arial" w:hAnsi="Arial" w:cs="Arial"/>
          <w:b/>
          <w:color w:val="000000"/>
          <w:sz w:val="20"/>
          <w:szCs w:val="20"/>
        </w:rPr>
      </w:pPr>
      <w:r w:rsidRPr="002725ED">
        <w:rPr>
          <w:rFonts w:ascii="Arial" w:eastAsia="Times New Roman" w:hAnsi="Arial" w:cs="Arial"/>
          <w:color w:val="000000"/>
          <w:sz w:val="20"/>
          <w:szCs w:val="20"/>
        </w:rPr>
        <w:t>Modelo de Código Tributario para América Latina - Centro Interamericano de Administraciones Tributarias.</w:t>
      </w:r>
    </w:p>
    <w:p w:rsidR="00D22415" w:rsidRPr="002725ED" w:rsidRDefault="00D22415">
      <w:pPr>
        <w:pStyle w:val="normal0"/>
        <w:pBdr>
          <w:top w:val="nil"/>
          <w:left w:val="nil"/>
          <w:bottom w:val="nil"/>
          <w:right w:val="nil"/>
          <w:between w:val="nil"/>
        </w:pBdr>
        <w:spacing w:line="276" w:lineRule="auto"/>
        <w:ind w:left="567"/>
        <w:jc w:val="both"/>
        <w:rPr>
          <w:rFonts w:ascii="Arial" w:eastAsia="Times New Roman" w:hAnsi="Arial" w:cs="Arial"/>
          <w:b/>
          <w:color w:val="000000"/>
          <w:sz w:val="20"/>
          <w:szCs w:val="20"/>
        </w:rPr>
      </w:pPr>
    </w:p>
    <w:sectPr w:rsidR="00D22415" w:rsidRPr="002725ED" w:rsidSect="002725ED">
      <w:pgSz w:w="12240" w:h="15840"/>
      <w:pgMar w:top="567" w:right="1701" w:bottom="1134" w:left="2268" w:header="0" w:footer="34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75D" w:rsidRDefault="006F075D" w:rsidP="00D22415">
      <w:pPr>
        <w:spacing w:after="0" w:line="240" w:lineRule="auto"/>
      </w:pPr>
      <w:r>
        <w:separator/>
      </w:r>
    </w:p>
  </w:endnote>
  <w:endnote w:type="continuationSeparator" w:id="0">
    <w:p w:rsidR="006F075D" w:rsidRDefault="006F075D" w:rsidP="00D22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75D" w:rsidRDefault="006F075D" w:rsidP="00D22415">
      <w:pPr>
        <w:spacing w:after="0" w:line="240" w:lineRule="auto"/>
      </w:pPr>
      <w:r>
        <w:separator/>
      </w:r>
    </w:p>
  </w:footnote>
  <w:footnote w:type="continuationSeparator" w:id="0">
    <w:p w:rsidR="006F075D" w:rsidRDefault="006F075D" w:rsidP="00D22415">
      <w:pPr>
        <w:spacing w:after="0" w:line="240" w:lineRule="auto"/>
      </w:pPr>
      <w:r>
        <w:continuationSeparator/>
      </w:r>
    </w:p>
  </w:footnote>
  <w:footnote w:id="1">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Martín Delgado, José María: “Derecho Financiero y Derecho Fundamentales” Universidad de Málaga, Málaga, 2,010. </w:t>
      </w:r>
    </w:p>
  </w:footnote>
  <w:footnote w:id="2">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VILLEGAS, Héctor: “Curso de Finanzas, Derecho Financiero y Tributario”. Ediciones  De Palma, Buenos Aires, 1997.</w:t>
      </w:r>
    </w:p>
  </w:footnote>
  <w:footnote w:id="3">
    <w:p w:rsidR="00D22415" w:rsidRDefault="006F075D">
      <w:pPr>
        <w:pStyle w:val="normal0"/>
        <w:jc w:val="both"/>
        <w:rPr>
          <w:rFonts w:ascii="Arial" w:eastAsia="Arial" w:hAnsi="Arial" w:cs="Arial"/>
          <w:sz w:val="20"/>
          <w:szCs w:val="20"/>
        </w:rPr>
      </w:pPr>
      <w:r>
        <w:rPr>
          <w:vertAlign w:val="superscript"/>
        </w:rPr>
        <w:footnoteRef/>
      </w:r>
      <w:r>
        <w:rPr>
          <w:rFonts w:ascii="Arial" w:eastAsia="Arial" w:hAnsi="Arial" w:cs="Arial"/>
          <w:sz w:val="20"/>
          <w:szCs w:val="20"/>
        </w:rPr>
        <w:t xml:space="preserve"> FONROUGE, </w:t>
      </w:r>
      <w:proofErr w:type="spellStart"/>
      <w:r>
        <w:rPr>
          <w:rFonts w:ascii="Arial" w:eastAsia="Arial" w:hAnsi="Arial" w:cs="Arial"/>
          <w:sz w:val="20"/>
          <w:szCs w:val="20"/>
        </w:rPr>
        <w:t>Giuliani</w:t>
      </w:r>
      <w:proofErr w:type="spellEnd"/>
      <w:r>
        <w:rPr>
          <w:rFonts w:ascii="Arial" w:eastAsia="Arial" w:hAnsi="Arial" w:cs="Arial"/>
          <w:sz w:val="20"/>
          <w:szCs w:val="20"/>
        </w:rPr>
        <w:t>: “Derecho Financiero Volumen I”. Editorial De Palma, Buenos Aires, 1986.</w:t>
      </w:r>
    </w:p>
  </w:footnote>
  <w:footnote w:id="4">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Centro Interamericano de Administraciones Tributarias: “Modelo de Código Tributario para América Latina”. </w:t>
      </w:r>
    </w:p>
  </w:footnote>
  <w:footnote w:id="5">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Martín Delgado, José María: “Derecho Financiero y Derecho Fundamentales” Universidad de Málaga, Málaga, 2,010. </w:t>
      </w:r>
    </w:p>
  </w:footnote>
  <w:footnote w:id="6">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Del </w:t>
      </w:r>
      <w:proofErr w:type="spellStart"/>
      <w:r>
        <w:rPr>
          <w:rFonts w:ascii="Arial" w:eastAsia="Arial" w:hAnsi="Arial" w:cs="Arial"/>
          <w:color w:val="000000"/>
          <w:sz w:val="20"/>
          <w:szCs w:val="20"/>
        </w:rPr>
        <w:t>Juano</w:t>
      </w:r>
      <w:proofErr w:type="spellEnd"/>
      <w:r>
        <w:rPr>
          <w:rFonts w:ascii="Arial" w:eastAsia="Arial" w:hAnsi="Arial" w:cs="Arial"/>
          <w:color w:val="000000"/>
          <w:sz w:val="20"/>
          <w:szCs w:val="20"/>
        </w:rPr>
        <w:t>, Manuel: “Curso de Fin</w:t>
      </w:r>
      <w:r>
        <w:rPr>
          <w:rFonts w:ascii="Arial" w:eastAsia="Arial" w:hAnsi="Arial" w:cs="Arial"/>
          <w:color w:val="000000"/>
          <w:sz w:val="20"/>
          <w:szCs w:val="20"/>
        </w:rPr>
        <w:t xml:space="preserve">anzas y Derecho Tributario”, Tomo I: Parte General, Ediciones </w:t>
      </w:r>
      <w:proofErr w:type="spellStart"/>
      <w:r>
        <w:rPr>
          <w:rFonts w:ascii="Arial" w:eastAsia="Arial" w:hAnsi="Arial" w:cs="Arial"/>
          <w:color w:val="000000"/>
          <w:sz w:val="20"/>
          <w:szCs w:val="20"/>
        </w:rPr>
        <w:t>Molachino</w:t>
      </w:r>
      <w:proofErr w:type="spellEnd"/>
      <w:r>
        <w:rPr>
          <w:rFonts w:ascii="Arial" w:eastAsia="Arial" w:hAnsi="Arial" w:cs="Arial"/>
          <w:color w:val="000000"/>
          <w:sz w:val="20"/>
          <w:szCs w:val="20"/>
        </w:rPr>
        <w:t xml:space="preserve">, Rosario, 1969. </w:t>
      </w:r>
    </w:p>
  </w:footnote>
  <w:footnote w:id="7">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De la Garza, Sergio Francisco: “Derecho Financiero Mexicano, Editorial Porrúa, México, 2,008. </w:t>
      </w:r>
    </w:p>
  </w:footnote>
  <w:footnote w:id="8">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ATALIBA, Geraldo: “Hipótesis de Incidencia Tributaria”.  Instituto P</w:t>
      </w:r>
      <w:r>
        <w:rPr>
          <w:rFonts w:ascii="Arial" w:eastAsia="Arial" w:hAnsi="Arial" w:cs="Arial"/>
          <w:color w:val="000000"/>
          <w:sz w:val="20"/>
          <w:szCs w:val="20"/>
        </w:rPr>
        <w:t>eruano de Derecho Tributario, Lima, 1987.</w:t>
      </w:r>
    </w:p>
    <w:p w:rsidR="00D22415" w:rsidRDefault="00D22415">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footnote>
  <w:footnote w:id="9">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MABARAK CERECEDO, </w:t>
      </w:r>
      <w:proofErr w:type="spellStart"/>
      <w:r>
        <w:rPr>
          <w:rFonts w:ascii="Arial" w:eastAsia="Arial" w:hAnsi="Arial" w:cs="Arial"/>
          <w:color w:val="000000"/>
          <w:sz w:val="20"/>
          <w:szCs w:val="20"/>
        </w:rPr>
        <w:t>Doricela</w:t>
      </w:r>
      <w:proofErr w:type="spellEnd"/>
      <w:r>
        <w:rPr>
          <w:rFonts w:ascii="Arial" w:eastAsia="Arial" w:hAnsi="Arial" w:cs="Arial"/>
          <w:color w:val="000000"/>
          <w:sz w:val="20"/>
          <w:szCs w:val="20"/>
        </w:rPr>
        <w:t>, Derecho financiero público, McGraw-Hill, 2ª ed., México, 2000, p. 63.</w:t>
      </w:r>
    </w:p>
  </w:footnote>
  <w:footnote w:id="10">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Ojeda Hidalgo Álvaro, Artículo “La Contribución Especial (Un tributo complejo).web: </w:t>
      </w:r>
      <w:hyperlink r:id="rId1">
        <w:r>
          <w:rPr>
            <w:rFonts w:ascii="Arial" w:eastAsia="Arial" w:hAnsi="Arial" w:cs="Arial"/>
            <w:color w:val="000000"/>
            <w:sz w:val="20"/>
            <w:szCs w:val="20"/>
            <w:u w:val="single"/>
          </w:rPr>
          <w:t>file:///D:/Data/Downloads/560-Texto%20del%20art%C3%ADculo-983-1-10-20160823.pdf</w:t>
        </w:r>
      </w:hyperlink>
    </w:p>
  </w:footnote>
  <w:footnote w:id="11">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Martín Delgado, José María: “Derecho Financiero y Derecho Fundamentales” Universidad de Málaga, Málaga, 2,010.</w:t>
      </w:r>
    </w:p>
  </w:footnote>
  <w:footnote w:id="12">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Del </w:t>
      </w:r>
      <w:proofErr w:type="spellStart"/>
      <w:r>
        <w:rPr>
          <w:rFonts w:ascii="Arial" w:eastAsia="Arial" w:hAnsi="Arial" w:cs="Arial"/>
          <w:color w:val="000000"/>
          <w:sz w:val="20"/>
          <w:szCs w:val="20"/>
        </w:rPr>
        <w:t>Juano</w:t>
      </w:r>
      <w:proofErr w:type="spellEnd"/>
      <w:r>
        <w:rPr>
          <w:rFonts w:ascii="Arial" w:eastAsia="Arial" w:hAnsi="Arial" w:cs="Arial"/>
          <w:color w:val="000000"/>
          <w:sz w:val="20"/>
          <w:szCs w:val="20"/>
        </w:rPr>
        <w:t>, Manuel: “Curso de Finanzas y Derecho Tributario”</w:t>
      </w:r>
      <w:r>
        <w:rPr>
          <w:rFonts w:ascii="Arial" w:eastAsia="Arial" w:hAnsi="Arial" w:cs="Arial"/>
          <w:color w:val="000000"/>
          <w:sz w:val="20"/>
          <w:szCs w:val="20"/>
        </w:rPr>
        <w:t xml:space="preserve">, Tomo I: Parte General, Ediciones </w:t>
      </w:r>
      <w:proofErr w:type="spellStart"/>
      <w:r>
        <w:rPr>
          <w:rFonts w:ascii="Arial" w:eastAsia="Arial" w:hAnsi="Arial" w:cs="Arial"/>
          <w:color w:val="000000"/>
          <w:sz w:val="20"/>
          <w:szCs w:val="20"/>
        </w:rPr>
        <w:t>Molachino</w:t>
      </w:r>
      <w:proofErr w:type="spellEnd"/>
      <w:r>
        <w:rPr>
          <w:rFonts w:ascii="Arial" w:eastAsia="Arial" w:hAnsi="Arial" w:cs="Arial"/>
          <w:color w:val="000000"/>
          <w:sz w:val="20"/>
          <w:szCs w:val="20"/>
        </w:rPr>
        <w:t>, Rosario, 1969.</w:t>
      </w:r>
    </w:p>
  </w:footnote>
  <w:footnote w:id="13">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Valdez Costa, Ramón: Curso de Derecho Tributario, Editorial Montevideo, Buenos Aires, Cuarta Edición, 2,013. </w:t>
      </w:r>
    </w:p>
  </w:footnote>
  <w:footnote w:id="14">
    <w:p w:rsidR="00D22415" w:rsidRDefault="006F075D">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Citado en la obra, de Carrión </w:t>
      </w:r>
      <w:proofErr w:type="spellStart"/>
      <w:r>
        <w:rPr>
          <w:rFonts w:ascii="Arial" w:eastAsia="Arial" w:hAnsi="Arial" w:cs="Arial"/>
          <w:color w:val="000000"/>
          <w:sz w:val="20"/>
          <w:szCs w:val="20"/>
        </w:rPr>
        <w:t>Benites</w:t>
      </w:r>
      <w:proofErr w:type="spellEnd"/>
      <w:r>
        <w:rPr>
          <w:rFonts w:ascii="Arial" w:eastAsia="Arial" w:hAnsi="Arial" w:cs="Arial"/>
          <w:color w:val="000000"/>
          <w:sz w:val="20"/>
          <w:szCs w:val="20"/>
        </w:rPr>
        <w:t xml:space="preserve">, Jorge Luis: “Los Tributos Parafiscales de </w:t>
      </w:r>
      <w:r>
        <w:rPr>
          <w:rFonts w:ascii="Arial" w:eastAsia="Arial" w:hAnsi="Arial" w:cs="Arial"/>
          <w:color w:val="000000"/>
          <w:sz w:val="20"/>
          <w:szCs w:val="20"/>
        </w:rPr>
        <w:t xml:space="preserve">la Comunidad Andina”, Corporación Editora Nacional, Quito 2,012.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32888"/>
    <w:multiLevelType w:val="multilevel"/>
    <w:tmpl w:val="3D9E2114"/>
    <w:lvl w:ilvl="0">
      <w:start w:val="1"/>
      <w:numFmt w:val="upperRoman"/>
      <w:lvlText w:val="%1."/>
      <w:lvlJc w:val="left"/>
      <w:pPr>
        <w:ind w:left="1080" w:hanging="72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22665F1"/>
    <w:multiLevelType w:val="multilevel"/>
    <w:tmpl w:val="53CAC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22415"/>
    <w:rsid w:val="002725ED"/>
    <w:rsid w:val="006F075D"/>
    <w:rsid w:val="00D224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4"/>
        <w:szCs w:val="24"/>
        <w:lang w:val="es-PE"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22415"/>
    <w:pPr>
      <w:keepNext/>
      <w:keepLines/>
      <w:spacing w:before="480" w:after="120"/>
      <w:outlineLvl w:val="0"/>
    </w:pPr>
    <w:rPr>
      <w:b/>
      <w:sz w:val="48"/>
      <w:szCs w:val="48"/>
    </w:rPr>
  </w:style>
  <w:style w:type="paragraph" w:styleId="Ttulo2">
    <w:name w:val="heading 2"/>
    <w:basedOn w:val="normal0"/>
    <w:next w:val="normal0"/>
    <w:rsid w:val="00D22415"/>
    <w:pPr>
      <w:keepNext/>
      <w:keepLines/>
      <w:spacing w:before="360" w:after="80"/>
      <w:outlineLvl w:val="1"/>
    </w:pPr>
    <w:rPr>
      <w:b/>
      <w:sz w:val="36"/>
      <w:szCs w:val="36"/>
    </w:rPr>
  </w:style>
  <w:style w:type="paragraph" w:styleId="Ttulo3">
    <w:name w:val="heading 3"/>
    <w:basedOn w:val="normal0"/>
    <w:next w:val="normal0"/>
    <w:rsid w:val="00D22415"/>
    <w:pPr>
      <w:keepNext/>
      <w:keepLines/>
      <w:spacing w:before="280" w:after="80"/>
      <w:outlineLvl w:val="2"/>
    </w:pPr>
    <w:rPr>
      <w:b/>
      <w:sz w:val="28"/>
      <w:szCs w:val="28"/>
    </w:rPr>
  </w:style>
  <w:style w:type="paragraph" w:styleId="Ttulo4">
    <w:name w:val="heading 4"/>
    <w:basedOn w:val="normal0"/>
    <w:next w:val="normal0"/>
    <w:rsid w:val="00D22415"/>
    <w:pPr>
      <w:keepNext/>
      <w:keepLines/>
      <w:spacing w:before="240" w:after="40"/>
      <w:outlineLvl w:val="3"/>
    </w:pPr>
    <w:rPr>
      <w:b/>
    </w:rPr>
  </w:style>
  <w:style w:type="paragraph" w:styleId="Ttulo5">
    <w:name w:val="heading 5"/>
    <w:basedOn w:val="normal0"/>
    <w:next w:val="normal0"/>
    <w:rsid w:val="00D22415"/>
    <w:pPr>
      <w:keepNext/>
      <w:keepLines/>
      <w:spacing w:before="220" w:after="40"/>
      <w:outlineLvl w:val="4"/>
    </w:pPr>
    <w:rPr>
      <w:b/>
      <w:sz w:val="22"/>
      <w:szCs w:val="22"/>
    </w:rPr>
  </w:style>
  <w:style w:type="paragraph" w:styleId="Ttulo6">
    <w:name w:val="heading 6"/>
    <w:basedOn w:val="normal0"/>
    <w:next w:val="normal0"/>
    <w:rsid w:val="00D2241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22415"/>
  </w:style>
  <w:style w:type="table" w:customStyle="1" w:styleId="TableNormal">
    <w:name w:val="Table Normal"/>
    <w:rsid w:val="00D22415"/>
    <w:tblPr>
      <w:tblCellMar>
        <w:top w:w="0" w:type="dxa"/>
        <w:left w:w="0" w:type="dxa"/>
        <w:bottom w:w="0" w:type="dxa"/>
        <w:right w:w="0" w:type="dxa"/>
      </w:tblCellMar>
    </w:tblPr>
  </w:style>
  <w:style w:type="paragraph" w:styleId="Ttulo">
    <w:name w:val="Title"/>
    <w:basedOn w:val="normal0"/>
    <w:next w:val="normal0"/>
    <w:rsid w:val="00D22415"/>
    <w:pPr>
      <w:keepNext/>
      <w:keepLines/>
      <w:spacing w:before="480" w:after="120"/>
    </w:pPr>
    <w:rPr>
      <w:b/>
      <w:sz w:val="72"/>
      <w:szCs w:val="72"/>
    </w:rPr>
  </w:style>
  <w:style w:type="paragraph" w:styleId="Subttulo">
    <w:name w:val="Subtitle"/>
    <w:basedOn w:val="normal0"/>
    <w:next w:val="normal0"/>
    <w:rsid w:val="00D22415"/>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27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725ED"/>
  </w:style>
  <w:style w:type="paragraph" w:styleId="Piedepgina">
    <w:name w:val="footer"/>
    <w:basedOn w:val="Normal"/>
    <w:link w:val="PiedepginaCar"/>
    <w:uiPriority w:val="99"/>
    <w:semiHidden/>
    <w:unhideWhenUsed/>
    <w:rsid w:val="0027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725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3142</Words>
  <Characters>17284</Characters>
  <Application>Microsoft Office Word</Application>
  <DocSecurity>0</DocSecurity>
  <Lines>144</Lines>
  <Paragraphs>40</Paragraphs>
  <ScaleCrop>false</ScaleCrop>
  <Company/>
  <LinksUpToDate>false</LinksUpToDate>
  <CharactersWithSpaces>20386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cp:lastModifiedBy>
  <cp:revision>2</cp:revision>
  <dcterms:created xsi:type="dcterms:W3CDTF">2022-04-28T21:41:00Z</dcterms:created>
  <dcterms:modified xsi:type="dcterms:W3CDTF">2022-04-28T21:42:00Z</dcterms:modified>
</cp:coreProperties>
</file>