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A7673" w14:textId="77777777" w:rsidR="009210B2" w:rsidRDefault="009210B2" w:rsidP="00530A8F">
      <w:pPr>
        <w:ind w:firstLine="0"/>
        <w:jc w:val="center"/>
        <w:rPr>
          <w:rFonts w:cs="Times New Roman"/>
          <w:b/>
          <w:szCs w:val="24"/>
        </w:rPr>
      </w:pPr>
      <w:r w:rsidRPr="009210B2">
        <w:rPr>
          <w:rFonts w:cs="Times New Roman"/>
          <w:b/>
          <w:szCs w:val="24"/>
        </w:rPr>
        <w:t>FACTORES ACADÉMICOS Y DESERCIÓN ESTUDIANTIL EN LA CARRERA TÉCNICA DE CONTABILIDAD ISTP ARGENTINA 2021-2023</w:t>
      </w:r>
    </w:p>
    <w:p w14:paraId="6DEE9F1E" w14:textId="77777777" w:rsidR="009210B2" w:rsidRDefault="009210B2" w:rsidP="00530A8F">
      <w:pPr>
        <w:ind w:firstLine="0"/>
        <w:jc w:val="center"/>
        <w:rPr>
          <w:rFonts w:cs="Times New Roman"/>
          <w:bCs/>
          <w:lang w:val="en-US"/>
        </w:rPr>
      </w:pPr>
      <w:r w:rsidRPr="009210B2">
        <w:rPr>
          <w:rFonts w:cs="Times New Roman"/>
          <w:bCs/>
          <w:lang w:val="en-US"/>
        </w:rPr>
        <w:t>ACADEMIC FACTORS AND STUDENT DROPOUT RATE IN THE TECHNICAL ACCOUNTING DEGREE AT ISTP ARGENTINA 2021-2023</w:t>
      </w:r>
    </w:p>
    <w:p w14:paraId="69666862" w14:textId="0AE77E8D" w:rsidR="003F28B9" w:rsidRPr="009210B2" w:rsidRDefault="003F28B9" w:rsidP="00530A8F">
      <w:pPr>
        <w:ind w:firstLine="0"/>
        <w:jc w:val="center"/>
        <w:rPr>
          <w:rFonts w:cs="Times New Roman"/>
          <w:b/>
          <w:bCs/>
          <w:szCs w:val="24"/>
        </w:rPr>
      </w:pPr>
      <w:r w:rsidRPr="009210B2">
        <w:rPr>
          <w:rFonts w:cs="Times New Roman"/>
          <w:b/>
          <w:bCs/>
          <w:szCs w:val="24"/>
        </w:rPr>
        <w:t>Universidad Nacional Federico Villarreal</w:t>
      </w:r>
    </w:p>
    <w:p w14:paraId="322F7A1C" w14:textId="2BE2BD57" w:rsidR="007F2702" w:rsidRDefault="007F2702" w:rsidP="00BE0B25">
      <w:pPr>
        <w:ind w:left="708" w:hanging="708"/>
        <w:jc w:val="center"/>
        <w:rPr>
          <w:rFonts w:cs="Times New Roman"/>
          <w:szCs w:val="24"/>
        </w:rPr>
      </w:pPr>
      <w:bookmarkStart w:id="0" w:name="_GoBack"/>
      <w:r w:rsidRPr="007F2702">
        <w:rPr>
          <w:rFonts w:cs="Times New Roman"/>
          <w:szCs w:val="24"/>
        </w:rPr>
        <w:t>Sánchez Bautista</w:t>
      </w:r>
      <w:r>
        <w:rPr>
          <w:rFonts w:cs="Times New Roman"/>
          <w:szCs w:val="24"/>
        </w:rPr>
        <w:t>,</w:t>
      </w:r>
      <w:r w:rsidRPr="007F2702">
        <w:rPr>
          <w:rFonts w:cs="Times New Roman"/>
          <w:szCs w:val="24"/>
        </w:rPr>
        <w:t xml:space="preserve"> </w:t>
      </w:r>
      <w:r w:rsidR="009210B2" w:rsidRPr="009210B2">
        <w:rPr>
          <w:rFonts w:cs="Times New Roman"/>
          <w:szCs w:val="24"/>
        </w:rPr>
        <w:t>Rosa Higinia</w:t>
      </w:r>
    </w:p>
    <w:bookmarkEnd w:id="0"/>
    <w:p w14:paraId="4017C31B" w14:textId="77777777" w:rsidR="00D05FAA" w:rsidRPr="00D05FAA" w:rsidRDefault="00D05FAA" w:rsidP="00D05FAA">
      <w:pPr>
        <w:rPr>
          <w:rFonts w:cs="Times New Roman"/>
          <w:b/>
          <w:szCs w:val="24"/>
        </w:rPr>
      </w:pPr>
    </w:p>
    <w:p w14:paraId="733C41FB" w14:textId="078979F1" w:rsidR="003F28B9" w:rsidRPr="00D05FAA" w:rsidRDefault="003F28B9" w:rsidP="00DB6CD8">
      <w:pPr>
        <w:ind w:firstLine="0"/>
        <w:rPr>
          <w:rFonts w:cs="Times New Roman"/>
          <w:b/>
          <w:szCs w:val="24"/>
        </w:rPr>
      </w:pPr>
      <w:r w:rsidRPr="00D05FAA">
        <w:rPr>
          <w:rFonts w:cs="Times New Roman"/>
          <w:b/>
          <w:szCs w:val="24"/>
        </w:rPr>
        <w:t>RESUMEN</w:t>
      </w:r>
    </w:p>
    <w:p w14:paraId="76A0BA3F" w14:textId="7DBAC461" w:rsidR="009210B2" w:rsidRPr="009210B2" w:rsidRDefault="003F28B9" w:rsidP="009210B2">
      <w:pPr>
        <w:rPr>
          <w:rFonts w:eastAsia="Calibri" w:cs="Times New Roman"/>
          <w:color w:val="000000"/>
          <w:szCs w:val="24"/>
        </w:rPr>
      </w:pPr>
      <w:r w:rsidRPr="007F2702">
        <w:rPr>
          <w:rFonts w:cs="Times New Roman"/>
          <w:szCs w:val="24"/>
        </w:rPr>
        <w:t> </w:t>
      </w:r>
      <w:r w:rsidR="007F2702" w:rsidRPr="007F2702">
        <w:rPr>
          <w:rFonts w:eastAsia="Calibri" w:cs="Times New Roman"/>
          <w:color w:val="000000"/>
          <w:szCs w:val="24"/>
        </w:rPr>
        <w:t>El objetivo</w:t>
      </w:r>
      <w:r w:rsidR="009210B2">
        <w:rPr>
          <w:rFonts w:eastAsia="Calibri" w:cs="Times New Roman"/>
          <w:color w:val="000000"/>
          <w:szCs w:val="24"/>
        </w:rPr>
        <w:t xml:space="preserve"> fue</w:t>
      </w:r>
      <w:r w:rsidR="007F2702" w:rsidRPr="007F2702">
        <w:rPr>
          <w:rFonts w:eastAsia="Calibri" w:cs="Times New Roman"/>
          <w:color w:val="000000"/>
          <w:szCs w:val="24"/>
        </w:rPr>
        <w:t xml:space="preserve"> </w:t>
      </w:r>
      <w:r w:rsidR="009210B2" w:rsidRPr="009210B2">
        <w:rPr>
          <w:rFonts w:eastAsia="Calibri" w:cs="Times New Roman"/>
          <w:color w:val="000000"/>
          <w:szCs w:val="24"/>
        </w:rPr>
        <w:t>determinar cómo se relacionan los factores académicos con la deserción estudiantil en la carrera técnica de contabilidad del ISTPA en el periodo 2021-2023, con el fin de dar a conocer los factores que causan la deserción estudiantil tomando como base la teoría de las emociones de Goleman. La investigación es de tipo Aplicada, orientada a mejorar el conocimiento y contribuir al beneficio socioeconómico a largo plazo. El nivel de investigación es Explicativo, su diseño de tipo experimental - descriptivo, con manipulación intencional de variables y recolección de datos en un momento único en 2022. La población incluye a 246 estudiantes de la carrera durante el periodo mencionado, y la muestra fueron 100 estudiantes. Los resultados indican que la percepción favorable de los factores académicos reduce la probabilidad de deserción estudiantil; específicamente, esto aplica a la preparación docente, los recursos y el soporte académico, la evaluación y retroalimentación, y el ambiente de aprendizaje, que al ser percibidos como más favorables contribuyen significativamente a disminuir esta problemática. Finalmente, el estudio concluye que existe una relación positiva y característica entre los factores académicos y la menor deserción estudiantil en la carrera técnica de Contabilidad del ISTPA durante el periodo 2021-2023.</w:t>
      </w:r>
    </w:p>
    <w:p w14:paraId="0F15EB31" w14:textId="77777777" w:rsidR="009210B2" w:rsidRPr="009210B2" w:rsidRDefault="009210B2" w:rsidP="009210B2">
      <w:pPr>
        <w:rPr>
          <w:rFonts w:eastAsia="Calibri" w:cs="Times New Roman"/>
          <w:color w:val="000000"/>
          <w:szCs w:val="24"/>
        </w:rPr>
      </w:pPr>
    </w:p>
    <w:p w14:paraId="57E2525E" w14:textId="0AE87313" w:rsidR="009210B2" w:rsidRDefault="009210B2" w:rsidP="009210B2">
      <w:pPr>
        <w:rPr>
          <w:rFonts w:eastAsia="Calibri" w:cs="Times New Roman"/>
          <w:color w:val="000000"/>
          <w:szCs w:val="24"/>
        </w:rPr>
      </w:pPr>
      <w:r w:rsidRPr="009210B2">
        <w:rPr>
          <w:rFonts w:eastAsia="Calibri" w:cs="Times New Roman"/>
          <w:b/>
          <w:bCs/>
          <w:i/>
          <w:iCs/>
          <w:color w:val="000000"/>
          <w:szCs w:val="24"/>
        </w:rPr>
        <w:t>Palabras clave:</w:t>
      </w:r>
      <w:r w:rsidRPr="009210B2">
        <w:rPr>
          <w:rFonts w:eastAsia="Calibri" w:cs="Times New Roman"/>
          <w:color w:val="000000"/>
          <w:szCs w:val="24"/>
        </w:rPr>
        <w:t xml:space="preserve"> factores académicos, deserción estudiantil, carrera técnica de contabilidad, Instituto Superior Tecnológico Público Argentina.</w:t>
      </w:r>
    </w:p>
    <w:p w14:paraId="12936284" w14:textId="77777777" w:rsidR="0002329A" w:rsidRDefault="0002329A" w:rsidP="009210B2">
      <w:pPr>
        <w:rPr>
          <w:rFonts w:eastAsia="Calibri" w:cs="Times New Roman"/>
          <w:color w:val="000000"/>
          <w:szCs w:val="24"/>
        </w:rPr>
      </w:pPr>
    </w:p>
    <w:p w14:paraId="7550B053" w14:textId="45D001D0" w:rsidR="003F28B9" w:rsidRPr="009210B2" w:rsidRDefault="003F28B9" w:rsidP="009210B2">
      <w:pPr>
        <w:rPr>
          <w:rFonts w:cs="Times New Roman"/>
          <w:b/>
          <w:color w:val="000000"/>
          <w:szCs w:val="24"/>
          <w:lang w:val="en-US"/>
        </w:rPr>
      </w:pPr>
      <w:r w:rsidRPr="009210B2">
        <w:rPr>
          <w:rFonts w:cs="Times New Roman"/>
          <w:b/>
          <w:color w:val="000000"/>
          <w:szCs w:val="24"/>
          <w:lang w:val="en-US"/>
        </w:rPr>
        <w:t>ABSTRACT</w:t>
      </w:r>
    </w:p>
    <w:p w14:paraId="305CF59B" w14:textId="77777777" w:rsidR="009210B2" w:rsidRPr="009210B2" w:rsidRDefault="009210B2" w:rsidP="009210B2">
      <w:pPr>
        <w:ind w:firstLine="0"/>
        <w:rPr>
          <w:rFonts w:cs="Times New Roman"/>
          <w:bCs/>
          <w:szCs w:val="24"/>
          <w:lang w:val="en-US"/>
        </w:rPr>
      </w:pPr>
      <w:r w:rsidRPr="009210B2">
        <w:rPr>
          <w:rFonts w:cs="Times New Roman"/>
          <w:bCs/>
          <w:szCs w:val="24"/>
          <w:lang w:val="en-US"/>
        </w:rPr>
        <w:t xml:space="preserve">The purpose of this thesis is to determine how academic factors are related to student dropout in the ISTPA technical accounting career in the period 2021-2023, in order to reveal the factors that cause student dropout based on Goleman's theory of emotions. The research is of an Applied type, aimed at improving knowledge and contributing to long-term socioeconomic benefit. The level of research is Explanatory, its design is experimental - descriptive, with intentional manipulation of variables and data collection at a single moment in 2022. The </w:t>
      </w:r>
      <w:r w:rsidRPr="009210B2">
        <w:rPr>
          <w:rFonts w:cs="Times New Roman"/>
          <w:bCs/>
          <w:szCs w:val="24"/>
          <w:lang w:val="en-US"/>
        </w:rPr>
        <w:lastRenderedPageBreak/>
        <w:t>population includes 246 students of the degree during the aforementioned period, and the sample was 100 students. The results indicate that the favorable perception of academic factors reduces the probability of student dropout; Specifically, this applies to teacher preparation, resources and academic support, evaluation and feedback, and the learning environment, which, when perceived as more favorable, contribute significantly to reducing this problem. Finally, the study concludes that there is a positive and characteristic relationship between academic factors and lower student dropout in the ISTPA technical accounting career during the period 2021-2023.</w:t>
      </w:r>
    </w:p>
    <w:p w14:paraId="4AC51B7F" w14:textId="06BCC3B6" w:rsidR="009210B2" w:rsidRDefault="009210B2" w:rsidP="009210B2">
      <w:pPr>
        <w:ind w:firstLine="708"/>
        <w:rPr>
          <w:rFonts w:cs="Times New Roman"/>
          <w:bCs/>
          <w:szCs w:val="24"/>
          <w:lang w:val="en-US"/>
        </w:rPr>
      </w:pPr>
      <w:r w:rsidRPr="009210B2">
        <w:rPr>
          <w:rFonts w:cs="Times New Roman"/>
          <w:b/>
          <w:i/>
          <w:iCs/>
          <w:szCs w:val="24"/>
          <w:lang w:val="en-US"/>
        </w:rPr>
        <w:t>Keywords</w:t>
      </w:r>
      <w:r w:rsidRPr="009210B2">
        <w:rPr>
          <w:rFonts w:cs="Times New Roman"/>
          <w:bCs/>
          <w:szCs w:val="24"/>
          <w:lang w:val="en-US"/>
        </w:rPr>
        <w:t xml:space="preserve">: academic factors, student attrition, technical accounting program, Instituto Superior </w:t>
      </w:r>
      <w:proofErr w:type="spellStart"/>
      <w:r w:rsidRPr="009210B2">
        <w:rPr>
          <w:rFonts w:cs="Times New Roman"/>
          <w:bCs/>
          <w:szCs w:val="24"/>
          <w:lang w:val="en-US"/>
        </w:rPr>
        <w:t>Tecnológico</w:t>
      </w:r>
      <w:proofErr w:type="spellEnd"/>
      <w:r w:rsidRPr="009210B2">
        <w:rPr>
          <w:rFonts w:cs="Times New Roman"/>
          <w:bCs/>
          <w:szCs w:val="24"/>
          <w:lang w:val="en-US"/>
        </w:rPr>
        <w:t xml:space="preserve"> </w:t>
      </w:r>
      <w:proofErr w:type="spellStart"/>
      <w:r w:rsidRPr="009210B2">
        <w:rPr>
          <w:rFonts w:cs="Times New Roman"/>
          <w:bCs/>
          <w:szCs w:val="24"/>
          <w:lang w:val="en-US"/>
        </w:rPr>
        <w:t>Público</w:t>
      </w:r>
      <w:proofErr w:type="spellEnd"/>
      <w:r w:rsidRPr="009210B2">
        <w:rPr>
          <w:rFonts w:cs="Times New Roman"/>
          <w:bCs/>
          <w:szCs w:val="24"/>
          <w:lang w:val="en-US"/>
        </w:rPr>
        <w:t xml:space="preserve"> Argentina.</w:t>
      </w:r>
    </w:p>
    <w:p w14:paraId="12ACD82A" w14:textId="77777777" w:rsidR="009210B2" w:rsidRDefault="009210B2" w:rsidP="009210B2">
      <w:pPr>
        <w:ind w:firstLine="708"/>
        <w:rPr>
          <w:rFonts w:cs="Times New Roman"/>
          <w:bCs/>
          <w:szCs w:val="24"/>
          <w:lang w:val="en-US"/>
        </w:rPr>
      </w:pPr>
    </w:p>
    <w:p w14:paraId="02152681" w14:textId="387DBCE9" w:rsidR="00DC73DF" w:rsidRPr="00900F50" w:rsidRDefault="00E617E9" w:rsidP="009210B2">
      <w:pPr>
        <w:ind w:firstLine="0"/>
        <w:rPr>
          <w:rFonts w:cs="Times New Roman"/>
          <w:b/>
          <w:bCs/>
          <w:szCs w:val="24"/>
        </w:rPr>
      </w:pPr>
      <w:r w:rsidRPr="00900F50">
        <w:rPr>
          <w:rFonts w:cs="Times New Roman"/>
          <w:b/>
          <w:bCs/>
          <w:szCs w:val="24"/>
        </w:rPr>
        <w:t>INTRODUCCION</w:t>
      </w:r>
    </w:p>
    <w:p w14:paraId="321200AA" w14:textId="77777777" w:rsidR="00900F50" w:rsidRDefault="00900F50" w:rsidP="00900F50">
      <w:pPr>
        <w:ind w:firstLine="0"/>
        <w:rPr>
          <w:rFonts w:cs="Times New Roman"/>
          <w:szCs w:val="24"/>
        </w:rPr>
      </w:pPr>
      <w:r w:rsidRPr="00900F50">
        <w:rPr>
          <w:rFonts w:cs="Times New Roman"/>
          <w:szCs w:val="24"/>
        </w:rPr>
        <w:t>La investigación aborda los factores académicos que influyen en la deserción estudiantil en la carrera técnica de contabilidad del Instituto Superior de Formación Profesional (ISTP) en Argentina, durante el período 2021-2023. La deserción es un fenómeno que no solo impacta a las instituciones, sino también al desarrollo profesional de los estudiantes.</w:t>
      </w:r>
    </w:p>
    <w:p w14:paraId="6E5194BC" w14:textId="3B3727C9" w:rsidR="00900F50" w:rsidRDefault="00900F50" w:rsidP="00900F50">
      <w:pPr>
        <w:ind w:firstLine="0"/>
        <w:rPr>
          <w:rFonts w:cs="Times New Roman"/>
          <w:szCs w:val="24"/>
        </w:rPr>
      </w:pPr>
      <w:r w:rsidRPr="00900F50">
        <w:rPr>
          <w:rFonts w:cs="Times New Roman"/>
          <w:szCs w:val="24"/>
        </w:rPr>
        <w:t>Se analizarán variables como el rendimiento académico, el clima institucional y el apoyo psicosocial. Comprender estos elementos es crucial para proponer estrategias que favorezcan la retención de alumnos, mejorando así el entorno educativo y las oportunidades laborales en el campo de la contabilidad.</w:t>
      </w:r>
    </w:p>
    <w:p w14:paraId="4DFE2EF3" w14:textId="77777777" w:rsidR="0002329A" w:rsidRDefault="0002329A" w:rsidP="00900F50">
      <w:pPr>
        <w:ind w:firstLine="0"/>
        <w:rPr>
          <w:rFonts w:cs="Times New Roman"/>
          <w:szCs w:val="24"/>
        </w:rPr>
      </w:pPr>
    </w:p>
    <w:p w14:paraId="6E136B08" w14:textId="367CD704" w:rsidR="00B12790" w:rsidRPr="00D05FAA" w:rsidRDefault="00B12790" w:rsidP="00900F50">
      <w:pPr>
        <w:ind w:firstLine="0"/>
        <w:rPr>
          <w:rFonts w:cs="Times New Roman"/>
          <w:b/>
          <w:bCs/>
          <w:szCs w:val="24"/>
        </w:rPr>
      </w:pPr>
      <w:r w:rsidRPr="00D05FAA">
        <w:rPr>
          <w:rFonts w:cs="Times New Roman"/>
          <w:b/>
          <w:bCs/>
          <w:szCs w:val="24"/>
          <w:u w:val="single"/>
        </w:rPr>
        <w:t xml:space="preserve">Problema principal de la </w:t>
      </w:r>
      <w:r w:rsidR="007F2702" w:rsidRPr="00D05FAA">
        <w:rPr>
          <w:rFonts w:cs="Times New Roman"/>
          <w:b/>
          <w:bCs/>
          <w:szCs w:val="24"/>
          <w:u w:val="single"/>
        </w:rPr>
        <w:t>Investigación</w:t>
      </w:r>
      <w:r w:rsidRPr="00D05FAA">
        <w:rPr>
          <w:rFonts w:cs="Times New Roman"/>
          <w:b/>
          <w:bCs/>
          <w:szCs w:val="24"/>
          <w:u w:val="single"/>
        </w:rPr>
        <w:t xml:space="preserve"> </w:t>
      </w:r>
      <w:r w:rsidR="00221EE9" w:rsidRPr="00D05FAA">
        <w:rPr>
          <w:rFonts w:cs="Times New Roman"/>
          <w:b/>
          <w:bCs/>
          <w:szCs w:val="24"/>
          <w:u w:val="single"/>
        </w:rPr>
        <w:t>fue</w:t>
      </w:r>
      <w:r w:rsidR="00221EE9" w:rsidRPr="00D05FAA">
        <w:rPr>
          <w:rFonts w:cs="Times New Roman"/>
          <w:b/>
          <w:bCs/>
          <w:szCs w:val="24"/>
        </w:rPr>
        <w:t>:</w:t>
      </w:r>
    </w:p>
    <w:p w14:paraId="152BBAD1" w14:textId="77777777" w:rsidR="00900F50" w:rsidRDefault="00900F50" w:rsidP="007F2702">
      <w:pPr>
        <w:rPr>
          <w:rFonts w:cs="Times New Roman"/>
          <w:szCs w:val="24"/>
        </w:rPr>
      </w:pPr>
      <w:r w:rsidRPr="00900F50">
        <w:rPr>
          <w:rFonts w:cs="Times New Roman"/>
          <w:szCs w:val="24"/>
        </w:rPr>
        <w:t>¿Cómo se relacionan los factores académicos con la deserción estudiantil en la carrera técnica de contabilidad del Instituto Superior Tecnológico Público Argentina en el periodo 2021-2023?</w:t>
      </w:r>
    </w:p>
    <w:p w14:paraId="0DDFAAFB" w14:textId="1B2C7FB3" w:rsidR="007F2702" w:rsidRDefault="00B12790" w:rsidP="007F2702">
      <w:pPr>
        <w:rPr>
          <w:rFonts w:cs="Times New Roman"/>
          <w:szCs w:val="24"/>
        </w:rPr>
      </w:pPr>
      <w:r w:rsidRPr="00D05FAA">
        <w:rPr>
          <w:rFonts w:cs="Times New Roman"/>
          <w:b/>
          <w:bCs/>
          <w:szCs w:val="24"/>
          <w:u w:val="single"/>
        </w:rPr>
        <w:t xml:space="preserve">Al respecto, como antecedentes </w:t>
      </w:r>
      <w:r w:rsidR="00221EE9" w:rsidRPr="00D05FAA">
        <w:rPr>
          <w:rFonts w:cs="Times New Roman"/>
          <w:b/>
          <w:bCs/>
          <w:szCs w:val="24"/>
          <w:u w:val="single"/>
        </w:rPr>
        <w:t>tenemos:</w:t>
      </w:r>
    </w:p>
    <w:p w14:paraId="5D671134" w14:textId="77777777" w:rsidR="00900F50" w:rsidRPr="00900F50" w:rsidRDefault="00900F50" w:rsidP="00900F50">
      <w:pPr>
        <w:rPr>
          <w:shd w:val="clear" w:color="auto" w:fill="FFFFFF"/>
        </w:rPr>
      </w:pPr>
      <w:proofErr w:type="spellStart"/>
      <w:r w:rsidRPr="00900F50">
        <w:rPr>
          <w:shd w:val="clear" w:color="auto" w:fill="FFFFFF"/>
        </w:rPr>
        <w:t>Cossio</w:t>
      </w:r>
      <w:proofErr w:type="spellEnd"/>
      <w:r w:rsidRPr="00900F50">
        <w:rPr>
          <w:shd w:val="clear" w:color="auto" w:fill="FFFFFF"/>
        </w:rPr>
        <w:t xml:space="preserve"> (2021): Estudia la deserción en la carrera de Educación Primaria en Perú, concluyendo que el 55% de los estudiantes abandona debido a factores económicos, que representan el 43.68% de las razones.</w:t>
      </w:r>
    </w:p>
    <w:p w14:paraId="1E2F07F8" w14:textId="77777777" w:rsidR="00900F50" w:rsidRPr="00900F50" w:rsidRDefault="00900F50" w:rsidP="00900F50">
      <w:pPr>
        <w:rPr>
          <w:shd w:val="clear" w:color="auto" w:fill="FFFFFF"/>
        </w:rPr>
      </w:pPr>
      <w:r w:rsidRPr="00900F50">
        <w:rPr>
          <w:shd w:val="clear" w:color="auto" w:fill="FFFFFF"/>
        </w:rPr>
        <w:t>Gómez et al. (2021): Señala que mejorar los resultados educativos en el país requiere atención constante a las necesidades sociales y un enfoque en el aprendizaje permanente.</w:t>
      </w:r>
    </w:p>
    <w:p w14:paraId="0BA346FC" w14:textId="77777777" w:rsidR="00900F50" w:rsidRPr="00900F50" w:rsidRDefault="00900F50" w:rsidP="00900F50">
      <w:pPr>
        <w:rPr>
          <w:shd w:val="clear" w:color="auto" w:fill="FFFFFF"/>
        </w:rPr>
      </w:pPr>
      <w:r w:rsidRPr="00900F50">
        <w:rPr>
          <w:shd w:val="clear" w:color="auto" w:fill="FFFFFF"/>
        </w:rPr>
        <w:t xml:space="preserve">Juño (2021): Analiza cómo los factores socioeconómicos afectan la deserción en José María </w:t>
      </w:r>
      <w:proofErr w:type="spellStart"/>
      <w:r w:rsidRPr="00900F50">
        <w:rPr>
          <w:shd w:val="clear" w:color="auto" w:fill="FFFFFF"/>
        </w:rPr>
        <w:t>Egueren</w:t>
      </w:r>
      <w:proofErr w:type="spellEnd"/>
      <w:r w:rsidRPr="00900F50">
        <w:rPr>
          <w:shd w:val="clear" w:color="auto" w:fill="FFFFFF"/>
        </w:rPr>
        <w:t>, encontrando que el 60% de los estudiantes abandonan por costos de movilidad y vivienda, sugiriendo la necesidad de estrategias institucionales.</w:t>
      </w:r>
    </w:p>
    <w:p w14:paraId="3F8986BF" w14:textId="77777777" w:rsidR="00900F50" w:rsidRPr="00900F50" w:rsidRDefault="00900F50" w:rsidP="00900F50">
      <w:pPr>
        <w:rPr>
          <w:shd w:val="clear" w:color="auto" w:fill="FFFFFF"/>
        </w:rPr>
      </w:pPr>
      <w:r w:rsidRPr="00900F50">
        <w:rPr>
          <w:shd w:val="clear" w:color="auto" w:fill="FFFFFF"/>
        </w:rPr>
        <w:lastRenderedPageBreak/>
        <w:t>Ruiz (2018): Investiga el abandono en educación a distancia, revelando que el 79.3% de los estudiantes se retira por falta de tiempo y presiones socioeconómicas.</w:t>
      </w:r>
    </w:p>
    <w:p w14:paraId="046100A1" w14:textId="77777777" w:rsidR="00900F50" w:rsidRPr="00900F50" w:rsidRDefault="00900F50" w:rsidP="00900F50">
      <w:pPr>
        <w:rPr>
          <w:shd w:val="clear" w:color="auto" w:fill="FFFFFF"/>
        </w:rPr>
      </w:pPr>
      <w:r w:rsidRPr="00900F50">
        <w:rPr>
          <w:shd w:val="clear" w:color="auto" w:fill="FFFFFF"/>
        </w:rPr>
        <w:t>Gutiérrez et al. (2021): Analiza la deserción en universidades de EE. UU. y Colombia, encontrando que el 52% de los estudiantes deserta, siendo los factores académicos los más relevantes.</w:t>
      </w:r>
    </w:p>
    <w:p w14:paraId="7A2A9220" w14:textId="77777777" w:rsidR="00900F50" w:rsidRPr="00900F50" w:rsidRDefault="00900F50" w:rsidP="00900F50">
      <w:pPr>
        <w:rPr>
          <w:shd w:val="clear" w:color="auto" w:fill="FFFFFF"/>
        </w:rPr>
      </w:pPr>
      <w:r w:rsidRPr="00900F50">
        <w:rPr>
          <w:shd w:val="clear" w:color="auto" w:fill="FFFFFF"/>
        </w:rPr>
        <w:t>Erazo (2021): Enfocado en la orientación profesional, establece que la comprensión de la conducta y capacidades de los estudiantes impacta en la retención y éxito académico.</w:t>
      </w:r>
    </w:p>
    <w:p w14:paraId="5C2FB56F" w14:textId="77777777" w:rsidR="00900F50" w:rsidRPr="00900F50" w:rsidRDefault="00900F50" w:rsidP="00900F50">
      <w:pPr>
        <w:rPr>
          <w:shd w:val="clear" w:color="auto" w:fill="FFFFFF"/>
        </w:rPr>
      </w:pPr>
      <w:r w:rsidRPr="00900F50">
        <w:rPr>
          <w:shd w:val="clear" w:color="auto" w:fill="FFFFFF"/>
        </w:rPr>
        <w:t>Castillo et al. (2020): Identifica factores que contribuyen al fracaso en matemáticas, sugiriendo que la falta de tiempo y hábitos de estudio son determinantes en la deserción.</w:t>
      </w:r>
    </w:p>
    <w:p w14:paraId="7BA31647" w14:textId="4CDA45E8" w:rsidR="00900F50" w:rsidRPr="00900F50" w:rsidRDefault="00900F50" w:rsidP="00900F50">
      <w:pPr>
        <w:rPr>
          <w:shd w:val="clear" w:color="auto" w:fill="FFFFFF"/>
        </w:rPr>
      </w:pPr>
      <w:r w:rsidRPr="00900F50">
        <w:rPr>
          <w:shd w:val="clear" w:color="auto" w:fill="FFFFFF"/>
        </w:rPr>
        <w:t>Poveda (2019): Investiga en la Universidad de San Francisco, concluyendo que la economía y factores familiares son cruciales en el abandono, junto con motivación y salud.</w:t>
      </w:r>
    </w:p>
    <w:p w14:paraId="5937261B" w14:textId="77777777" w:rsidR="00900F50" w:rsidRPr="00900F50" w:rsidRDefault="00900F50" w:rsidP="00900F50">
      <w:pPr>
        <w:rPr>
          <w:shd w:val="clear" w:color="auto" w:fill="FFFFFF"/>
        </w:rPr>
      </w:pPr>
      <w:proofErr w:type="spellStart"/>
      <w:r w:rsidRPr="00900F50">
        <w:rPr>
          <w:shd w:val="clear" w:color="auto" w:fill="FFFFFF"/>
        </w:rPr>
        <w:t>Smulders</w:t>
      </w:r>
      <w:proofErr w:type="spellEnd"/>
      <w:r w:rsidRPr="00900F50">
        <w:rPr>
          <w:shd w:val="clear" w:color="auto" w:fill="FFFFFF"/>
        </w:rPr>
        <w:t xml:space="preserve"> (2018): Examina el abandono en ingeniería empresarial, destacando factores externos como la situación económica </w:t>
      </w:r>
      <w:proofErr w:type="spellStart"/>
      <w:r w:rsidRPr="00900F50">
        <w:rPr>
          <w:shd w:val="clear" w:color="auto" w:fill="FFFFFF"/>
        </w:rPr>
        <w:t>y</w:t>
      </w:r>
      <w:proofErr w:type="spellEnd"/>
      <w:r w:rsidRPr="00900F50">
        <w:rPr>
          <w:shd w:val="clear" w:color="auto" w:fill="FFFFFF"/>
        </w:rPr>
        <w:t xml:space="preserve"> internos como discrepancias personales y malas decisiones profesionales.</w:t>
      </w:r>
    </w:p>
    <w:p w14:paraId="2B0F9249" w14:textId="77777777" w:rsidR="00900F50" w:rsidRDefault="00900F50" w:rsidP="00900F50">
      <w:pPr>
        <w:rPr>
          <w:shd w:val="clear" w:color="auto" w:fill="FFFFFF"/>
        </w:rPr>
      </w:pPr>
      <w:r w:rsidRPr="00900F50">
        <w:rPr>
          <w:shd w:val="clear" w:color="auto" w:fill="FFFFFF"/>
        </w:rPr>
        <w:t>Estas investigaciones resaltan la complejidad de la deserción estudiantil, donde factores económicos, académicos y personales juegan un papel fundamental.</w:t>
      </w:r>
    </w:p>
    <w:p w14:paraId="35F84805" w14:textId="77777777" w:rsidR="00900F50" w:rsidRDefault="00900F50" w:rsidP="00900F50">
      <w:pPr>
        <w:ind w:firstLine="0"/>
        <w:rPr>
          <w:shd w:val="clear" w:color="auto" w:fill="FFFFFF"/>
        </w:rPr>
      </w:pPr>
    </w:p>
    <w:p w14:paraId="345D3D73" w14:textId="0F6BCF31" w:rsidR="00B12790" w:rsidRPr="00D05FAA" w:rsidRDefault="00B12790" w:rsidP="00900F50">
      <w:pPr>
        <w:ind w:firstLine="0"/>
        <w:rPr>
          <w:rFonts w:cs="Times New Roman"/>
          <w:b/>
          <w:bCs/>
          <w:szCs w:val="24"/>
        </w:rPr>
      </w:pPr>
      <w:r w:rsidRPr="00D05FAA">
        <w:rPr>
          <w:rFonts w:cs="Times New Roman"/>
          <w:b/>
          <w:bCs/>
          <w:szCs w:val="24"/>
        </w:rPr>
        <w:t>METODO</w:t>
      </w:r>
    </w:p>
    <w:p w14:paraId="79307DF5" w14:textId="597F7028" w:rsidR="00900F50" w:rsidRPr="00900F50" w:rsidRDefault="00900F50" w:rsidP="0002329A">
      <w:pPr>
        <w:widowControl w:val="0"/>
        <w:autoSpaceDE w:val="0"/>
        <w:autoSpaceDN w:val="0"/>
        <w:ind w:firstLine="709"/>
        <w:rPr>
          <w:shd w:val="clear" w:color="auto" w:fill="FFFFFF"/>
        </w:rPr>
      </w:pPr>
      <w:r w:rsidRPr="00900F50">
        <w:rPr>
          <w:shd w:val="clear" w:color="auto" w:fill="FFFFFF"/>
        </w:rPr>
        <w:t xml:space="preserve">El estudio </w:t>
      </w:r>
      <w:r>
        <w:rPr>
          <w:shd w:val="clear" w:color="auto" w:fill="FFFFFF"/>
        </w:rPr>
        <w:t xml:space="preserve">fue </w:t>
      </w:r>
      <w:r w:rsidRPr="00900F50">
        <w:rPr>
          <w:shd w:val="clear" w:color="auto" w:fill="FFFFFF"/>
        </w:rPr>
        <w:t>de tipo Aplicado</w:t>
      </w:r>
      <w:r>
        <w:rPr>
          <w:shd w:val="clear" w:color="auto" w:fill="FFFFFF"/>
        </w:rPr>
        <w:t>,</w:t>
      </w:r>
      <w:r w:rsidRPr="00900F50">
        <w:rPr>
          <w:shd w:val="clear" w:color="auto" w:fill="FFFFFF"/>
        </w:rPr>
        <w:t xml:space="preserve"> </w:t>
      </w:r>
      <w:r>
        <w:rPr>
          <w:shd w:val="clear" w:color="auto" w:fill="FFFFFF"/>
        </w:rPr>
        <w:t>con un nivel</w:t>
      </w:r>
      <w:r w:rsidRPr="00900F50">
        <w:rPr>
          <w:shd w:val="clear" w:color="auto" w:fill="FFFFFF"/>
        </w:rPr>
        <w:t xml:space="preserve"> de Investigación Explicativo, ya que se basa en establecer la vinculación causa y efecto entre las variables. El grado de estudio fue descriptivo, </w:t>
      </w:r>
      <w:r>
        <w:rPr>
          <w:shd w:val="clear" w:color="auto" w:fill="FFFFFF"/>
        </w:rPr>
        <w:t xml:space="preserve">con un </w:t>
      </w:r>
      <w:r w:rsidRPr="00900F50">
        <w:rPr>
          <w:shd w:val="clear" w:color="auto" w:fill="FFFFFF"/>
        </w:rPr>
        <w:t xml:space="preserve">Diseño de tipo experimental </w:t>
      </w:r>
      <w:r>
        <w:rPr>
          <w:shd w:val="clear" w:color="auto" w:fill="FFFFFF"/>
        </w:rPr>
        <w:t>–</w:t>
      </w:r>
      <w:r w:rsidRPr="00900F50">
        <w:rPr>
          <w:shd w:val="clear" w:color="auto" w:fill="FFFFFF"/>
        </w:rPr>
        <w:t xml:space="preserve"> descriptivo</w:t>
      </w:r>
      <w:r>
        <w:rPr>
          <w:shd w:val="clear" w:color="auto" w:fill="FFFFFF"/>
        </w:rPr>
        <w:t xml:space="preserve">. </w:t>
      </w:r>
      <w:r w:rsidRPr="00900F50">
        <w:rPr>
          <w:shd w:val="clear" w:color="auto" w:fill="FFFFFF"/>
        </w:rPr>
        <w:t>Asimismo, fue de tipo transeccional - transversal ya que se recogió la información del estudio en un momento especifico. Fue de tipo Explicativo ya que residió en narrar la motivación y compromiso académico en el abandono estudiantil en la Carrera Técnica de Contabilidad IESTP Argentina de los años 2021-2023</w:t>
      </w:r>
    </w:p>
    <w:p w14:paraId="544873F0" w14:textId="7975B5A4" w:rsidR="00900F50" w:rsidRPr="00900F50" w:rsidRDefault="00665243" w:rsidP="00900F50">
      <w:pPr>
        <w:rPr>
          <w:shd w:val="clear" w:color="auto" w:fill="FFFFFF"/>
        </w:rPr>
      </w:pPr>
      <w:r w:rsidRPr="00900F50">
        <w:rPr>
          <w:shd w:val="clear" w:color="auto" w:fill="FFFFFF"/>
        </w:rPr>
        <w:t>Población estuvo</w:t>
      </w:r>
      <w:r w:rsidR="00900F50" w:rsidRPr="00900F50">
        <w:rPr>
          <w:shd w:val="clear" w:color="auto" w:fill="FFFFFF"/>
        </w:rPr>
        <w:t xml:space="preserve"> conformada por todos los estudiantes que han cursado la carrera técnica de contabilidad del Instituto Superior Tecnológico Público Argentina en el periodo 2021-2023. Dicha cantidad asciende a 246 estudiantes.</w:t>
      </w:r>
    </w:p>
    <w:p w14:paraId="6CCA4A9E" w14:textId="743200DD" w:rsidR="00900F50" w:rsidRDefault="00900F50" w:rsidP="00900F50">
      <w:pPr>
        <w:widowControl w:val="0"/>
        <w:autoSpaceDE w:val="0"/>
        <w:autoSpaceDN w:val="0"/>
        <w:spacing w:line="480" w:lineRule="auto"/>
        <w:ind w:firstLine="709"/>
        <w:rPr>
          <w:shd w:val="clear" w:color="auto" w:fill="FFFFFF"/>
        </w:rPr>
      </w:pPr>
      <w:r w:rsidRPr="00900F50">
        <w:rPr>
          <w:shd w:val="clear" w:color="auto" w:fill="FFFFFF"/>
        </w:rPr>
        <w:t>Muestra</w:t>
      </w:r>
      <w:r>
        <w:rPr>
          <w:shd w:val="clear" w:color="auto" w:fill="FFFFFF"/>
        </w:rPr>
        <w:t>:</w:t>
      </w:r>
      <w:r w:rsidRPr="00900F50">
        <w:rPr>
          <w:shd w:val="clear" w:color="auto" w:fill="FFFFFF"/>
        </w:rPr>
        <w:t xml:space="preserve"> quedó formada por 100 estudiantes. </w:t>
      </w:r>
    </w:p>
    <w:p w14:paraId="0C04AE9F" w14:textId="77777777" w:rsidR="00900F50" w:rsidRDefault="007E24DF" w:rsidP="007E24DF">
      <w:pPr>
        <w:widowControl w:val="0"/>
        <w:autoSpaceDE w:val="0"/>
        <w:autoSpaceDN w:val="0"/>
        <w:spacing w:line="480" w:lineRule="auto"/>
        <w:ind w:firstLine="709"/>
        <w:rPr>
          <w:rFonts w:eastAsia="Arial MT" w:cs="Times New Roman"/>
          <w:color w:val="000000"/>
          <w:szCs w:val="24"/>
          <w:lang w:val="es-ES"/>
        </w:rPr>
      </w:pPr>
      <w:r w:rsidRPr="007E24DF">
        <w:rPr>
          <w:rFonts w:eastAsia="Arial MT" w:cs="Times New Roman"/>
          <w:b/>
          <w:color w:val="000000"/>
          <w:szCs w:val="24"/>
          <w:lang w:val="es-MX"/>
        </w:rPr>
        <w:t>X</w:t>
      </w:r>
      <w:r w:rsidRPr="007E24DF">
        <w:rPr>
          <w:rFonts w:eastAsia="Arial MT" w:cs="Times New Roman"/>
          <w:b/>
          <w:color w:val="000000"/>
          <w:szCs w:val="24"/>
          <w:lang w:val="es-ES"/>
        </w:rPr>
        <w:t>. Variable Independiente</w:t>
      </w:r>
      <w:r w:rsidRPr="007E24DF">
        <w:rPr>
          <w:rFonts w:eastAsia="Arial MT" w:cs="Times New Roman"/>
          <w:color w:val="000000"/>
          <w:szCs w:val="24"/>
          <w:lang w:val="es-ES"/>
        </w:rPr>
        <w:t xml:space="preserve">: </w:t>
      </w:r>
      <w:r w:rsidR="00900F50" w:rsidRPr="00900F50">
        <w:rPr>
          <w:rFonts w:eastAsia="Arial MT" w:cs="Times New Roman"/>
          <w:color w:val="000000"/>
          <w:szCs w:val="24"/>
          <w:lang w:val="es-ES"/>
        </w:rPr>
        <w:t>Factores Académicos</w:t>
      </w:r>
    </w:p>
    <w:p w14:paraId="107EB0E5" w14:textId="77777777" w:rsidR="00900F50" w:rsidRDefault="007E24DF" w:rsidP="00900F50">
      <w:pPr>
        <w:widowControl w:val="0"/>
        <w:autoSpaceDE w:val="0"/>
        <w:autoSpaceDN w:val="0"/>
        <w:spacing w:line="480" w:lineRule="auto"/>
        <w:ind w:firstLine="709"/>
        <w:rPr>
          <w:rFonts w:eastAsia="Arial MT" w:cs="Times New Roman"/>
          <w:color w:val="000000"/>
          <w:position w:val="1"/>
          <w:szCs w:val="24"/>
          <w:lang w:val="es-ES"/>
        </w:rPr>
      </w:pPr>
      <w:r w:rsidRPr="007E24DF">
        <w:rPr>
          <w:rFonts w:eastAsia="Arial MT" w:cs="Times New Roman"/>
          <w:b/>
          <w:bCs/>
          <w:color w:val="000000"/>
          <w:position w:val="1"/>
          <w:szCs w:val="24"/>
          <w:lang w:val="es-ES"/>
        </w:rPr>
        <w:t>Y. Variable Dependiente</w:t>
      </w:r>
      <w:r w:rsidRPr="007E24DF">
        <w:rPr>
          <w:rFonts w:eastAsia="Arial MT" w:cs="Times New Roman"/>
          <w:color w:val="000000"/>
          <w:position w:val="1"/>
          <w:szCs w:val="24"/>
          <w:lang w:val="es-ES"/>
        </w:rPr>
        <w:t xml:space="preserve">. </w:t>
      </w:r>
      <w:r w:rsidR="00900F50" w:rsidRPr="00900F50">
        <w:rPr>
          <w:rFonts w:eastAsia="Arial MT" w:cs="Times New Roman"/>
          <w:color w:val="000000"/>
          <w:position w:val="1"/>
          <w:szCs w:val="24"/>
          <w:lang w:val="es-ES"/>
        </w:rPr>
        <w:t xml:space="preserve">Deserción Estudiantil </w:t>
      </w:r>
    </w:p>
    <w:p w14:paraId="2246C612" w14:textId="1EEA53B6" w:rsidR="00463F8F" w:rsidRDefault="00463F8F" w:rsidP="007E24DF">
      <w:pPr>
        <w:spacing w:line="480" w:lineRule="auto"/>
        <w:ind w:right="67" w:firstLine="851"/>
        <w:rPr>
          <w:rFonts w:eastAsia="Arial MT" w:cs="Arial MT"/>
          <w:color w:val="000000"/>
          <w:lang w:val="es-MX" w:eastAsia="es-MX"/>
        </w:rPr>
      </w:pPr>
      <w:r w:rsidRPr="00463F8F">
        <w:rPr>
          <w:rFonts w:eastAsia="Arial MT" w:cs="Arial MT"/>
          <w:color w:val="000000"/>
          <w:lang w:val="es-MX" w:eastAsia="es-MX"/>
        </w:rPr>
        <w:lastRenderedPageBreak/>
        <w:t>Los Instrumentos que se recopilarán en este estudio serán en base a las encuestas realizadas en cada uno de los estudiantes.</w:t>
      </w:r>
    </w:p>
    <w:p w14:paraId="1E9A28D6" w14:textId="111B2FDC" w:rsidR="00463F8F" w:rsidRPr="00463F8F" w:rsidRDefault="00463F8F" w:rsidP="007E24DF">
      <w:pPr>
        <w:spacing w:line="480" w:lineRule="auto"/>
        <w:ind w:right="67" w:firstLine="851"/>
        <w:rPr>
          <w:rFonts w:eastAsia="Arial MT" w:cs="Arial MT"/>
          <w:b/>
          <w:bCs/>
          <w:color w:val="000000"/>
          <w:lang w:val="es-MX" w:eastAsia="es-MX"/>
        </w:rPr>
      </w:pPr>
      <w:r w:rsidRPr="00463F8F">
        <w:rPr>
          <w:rFonts w:eastAsia="Arial MT" w:cs="Arial MT"/>
          <w:b/>
          <w:bCs/>
          <w:color w:val="000000"/>
          <w:lang w:val="es-MX" w:eastAsia="es-MX"/>
        </w:rPr>
        <w:t>Procedimientos</w:t>
      </w:r>
      <w:r w:rsidRPr="00463F8F">
        <w:rPr>
          <w:rFonts w:eastAsia="Arial MT" w:cs="Arial MT"/>
          <w:b/>
          <w:bCs/>
          <w:color w:val="000000"/>
          <w:lang w:val="es-MX" w:eastAsia="es-MX"/>
        </w:rPr>
        <w:t xml:space="preserve">: </w:t>
      </w:r>
    </w:p>
    <w:p w14:paraId="53B2BA21" w14:textId="1558D060" w:rsidR="00463F8F" w:rsidRPr="00463F8F" w:rsidRDefault="00463F8F" w:rsidP="008E02B5">
      <w:pPr>
        <w:rPr>
          <w:lang w:eastAsia="es-PE"/>
        </w:rPr>
      </w:pPr>
      <w:r w:rsidRPr="00463F8F">
        <w:rPr>
          <w:lang w:eastAsia="es-PE"/>
        </w:rPr>
        <w:t>La recolección de información del estudio se realiza en dos fases: en la primera, se obtienen muestras que se transportan al laboratorio; en la segunda, se desarrollan y prueban estas muestras, siguiendo un formato que cumple con los pasos técnicos y reglamentarios establecidos. Se respeta un cronograma con fechas específicas para la obtención de probetas prismáticas, cilíndricas y losas de concreto, que serán sometidas a ensayos en las fechas programadas, asegurando así la validez y confiabilidad de los resultados.</w:t>
      </w:r>
    </w:p>
    <w:p w14:paraId="49F2C074" w14:textId="77777777" w:rsidR="00463F8F" w:rsidRPr="00463F8F" w:rsidRDefault="008E02B5" w:rsidP="00463F8F">
      <w:pPr>
        <w:rPr>
          <w:b/>
          <w:bCs/>
          <w:lang w:eastAsia="es-PE"/>
        </w:rPr>
      </w:pPr>
      <w:r w:rsidRPr="008E02B5">
        <w:rPr>
          <w:b/>
          <w:bCs/>
          <w:lang w:eastAsia="es-PE"/>
        </w:rPr>
        <w:t>Análisis de Datos</w:t>
      </w:r>
      <w:r>
        <w:rPr>
          <w:b/>
          <w:bCs/>
          <w:lang w:eastAsia="es-PE"/>
        </w:rPr>
        <w:t xml:space="preserve">: </w:t>
      </w:r>
      <w:r w:rsidR="00463F8F" w:rsidRPr="00463F8F">
        <w:rPr>
          <w:b/>
          <w:bCs/>
          <w:lang w:eastAsia="es-PE"/>
        </w:rPr>
        <w:t>Se usaron las sucesivas:</w:t>
      </w:r>
    </w:p>
    <w:p w14:paraId="00CDFF35" w14:textId="77777777" w:rsidR="00463F8F" w:rsidRPr="00463F8F" w:rsidRDefault="00463F8F" w:rsidP="00463F8F">
      <w:pPr>
        <w:tabs>
          <w:tab w:val="left" w:pos="993"/>
        </w:tabs>
        <w:rPr>
          <w:lang w:eastAsia="es-PE"/>
        </w:rPr>
      </w:pPr>
      <w:r w:rsidRPr="00463F8F">
        <w:rPr>
          <w:lang w:eastAsia="es-PE"/>
        </w:rPr>
        <w:t>a)</w:t>
      </w:r>
      <w:r w:rsidRPr="00463F8F">
        <w:rPr>
          <w:lang w:eastAsia="es-PE"/>
        </w:rPr>
        <w:tab/>
        <w:t>Valoración de los documentos</w:t>
      </w:r>
    </w:p>
    <w:p w14:paraId="79C4384B" w14:textId="77777777" w:rsidR="00463F8F" w:rsidRPr="00463F8F" w:rsidRDefault="00463F8F" w:rsidP="00463F8F">
      <w:pPr>
        <w:tabs>
          <w:tab w:val="left" w:pos="993"/>
        </w:tabs>
        <w:rPr>
          <w:lang w:eastAsia="es-PE"/>
        </w:rPr>
      </w:pPr>
      <w:r w:rsidRPr="00463F8F">
        <w:rPr>
          <w:lang w:eastAsia="es-PE"/>
        </w:rPr>
        <w:t>b)</w:t>
      </w:r>
      <w:r w:rsidRPr="00463F8F">
        <w:rPr>
          <w:lang w:eastAsia="es-PE"/>
        </w:rPr>
        <w:tab/>
        <w:t>Tabulación de tablas con valores y porcentajes</w:t>
      </w:r>
    </w:p>
    <w:p w14:paraId="2C59DA97" w14:textId="3C3B0394" w:rsidR="008E02B5" w:rsidRDefault="00463F8F" w:rsidP="00463F8F">
      <w:pPr>
        <w:tabs>
          <w:tab w:val="left" w:pos="993"/>
        </w:tabs>
        <w:rPr>
          <w:lang w:eastAsia="es-PE"/>
        </w:rPr>
      </w:pPr>
      <w:r w:rsidRPr="00463F8F">
        <w:rPr>
          <w:lang w:eastAsia="es-PE"/>
        </w:rPr>
        <w:t>c)</w:t>
      </w:r>
      <w:r w:rsidRPr="00463F8F">
        <w:rPr>
          <w:lang w:eastAsia="es-PE"/>
        </w:rPr>
        <w:tab/>
        <w:t>Evaluación de las figuras</w:t>
      </w:r>
    </w:p>
    <w:p w14:paraId="3F052340" w14:textId="7B5890F8" w:rsidR="00463F8F" w:rsidRDefault="00463F8F" w:rsidP="00463F8F">
      <w:pPr>
        <w:tabs>
          <w:tab w:val="left" w:pos="993"/>
        </w:tabs>
        <w:rPr>
          <w:lang w:eastAsia="es-PE"/>
        </w:rPr>
      </w:pPr>
      <w:r w:rsidRPr="00463F8F">
        <w:rPr>
          <w:lang w:eastAsia="es-PE"/>
        </w:rPr>
        <w:t>Se consideraron aspectos éticos en la investigación, garantizando que los datos recopilados fueran confiables y sin sesgos. La base de datos se formó a partir de cuestionarios a estudiantes que abandonaron la escuela, con autorización del decano del establecimiento. Se aseguró el anonimato y el respeto hacia los participantes, y se utilizó la Sexta Edición de las Normas APA para las citaciones, respetando los derechos de autor en las referencias.</w:t>
      </w:r>
    </w:p>
    <w:p w14:paraId="03BEE59A" w14:textId="77777777" w:rsidR="00463F8F" w:rsidRPr="00463F8F" w:rsidRDefault="00463F8F" w:rsidP="00463F8F">
      <w:pPr>
        <w:tabs>
          <w:tab w:val="left" w:pos="993"/>
        </w:tabs>
        <w:rPr>
          <w:sz w:val="23"/>
          <w:szCs w:val="23"/>
          <w:lang w:eastAsia="es-PE"/>
        </w:rPr>
      </w:pPr>
    </w:p>
    <w:p w14:paraId="5F142C36" w14:textId="77777777" w:rsidR="008E02B5" w:rsidRDefault="00211E39" w:rsidP="00DB6CD8">
      <w:pPr>
        <w:ind w:firstLine="0"/>
        <w:rPr>
          <w:rFonts w:cs="Times New Roman"/>
          <w:szCs w:val="24"/>
        </w:rPr>
      </w:pPr>
      <w:r w:rsidRPr="00D05FAA">
        <w:rPr>
          <w:rFonts w:cs="Times New Roman"/>
          <w:b/>
          <w:bCs/>
          <w:szCs w:val="24"/>
        </w:rPr>
        <w:t>RESULTADOS</w:t>
      </w:r>
      <w:r w:rsidRPr="00D05FAA">
        <w:rPr>
          <w:rFonts w:cs="Times New Roman"/>
          <w:szCs w:val="24"/>
        </w:rPr>
        <w:t>:</w:t>
      </w:r>
      <w:bookmarkStart w:id="1" w:name="_Toc156161757"/>
      <w:bookmarkStart w:id="2" w:name="_Toc173270115"/>
    </w:p>
    <w:p w14:paraId="00CC4221" w14:textId="3B991CE1" w:rsidR="00B23013" w:rsidRPr="00B23013" w:rsidRDefault="00B23013" w:rsidP="00665243">
      <w:pPr>
        <w:widowControl w:val="0"/>
        <w:autoSpaceDE w:val="0"/>
        <w:autoSpaceDN w:val="0"/>
        <w:spacing w:line="480" w:lineRule="auto"/>
        <w:ind w:firstLine="0"/>
        <w:outlineLvl w:val="1"/>
        <w:rPr>
          <w:rFonts w:eastAsia="Arial" w:cs="Arial"/>
          <w:b/>
          <w:bCs/>
          <w:color w:val="000000"/>
          <w:szCs w:val="28"/>
          <w:lang w:val="es-ES"/>
        </w:rPr>
      </w:pPr>
      <w:bookmarkStart w:id="3" w:name="_Toc168995841"/>
      <w:bookmarkStart w:id="4" w:name="_Toc169067583"/>
      <w:bookmarkStart w:id="5" w:name="_Toc183305636"/>
      <w:bookmarkEnd w:id="1"/>
      <w:bookmarkEnd w:id="2"/>
      <w:r w:rsidRPr="00B23013">
        <w:rPr>
          <w:rFonts w:eastAsia="Arial" w:cs="Arial"/>
          <w:b/>
          <w:bCs/>
          <w:color w:val="000000"/>
          <w:szCs w:val="28"/>
          <w:lang w:val="es-ES"/>
        </w:rPr>
        <w:t>Resultados inferenciales</w:t>
      </w:r>
      <w:bookmarkEnd w:id="3"/>
      <w:bookmarkEnd w:id="4"/>
      <w:bookmarkEnd w:id="5"/>
      <w:r w:rsidRPr="00B23013">
        <w:rPr>
          <w:rFonts w:eastAsia="Arial" w:cs="Arial"/>
          <w:b/>
          <w:bCs/>
          <w:color w:val="000000"/>
          <w:szCs w:val="28"/>
          <w:lang w:val="es-ES"/>
        </w:rPr>
        <w:t xml:space="preserve"> </w:t>
      </w:r>
    </w:p>
    <w:p w14:paraId="37119174" w14:textId="77777777" w:rsidR="00B23013" w:rsidRPr="00B23013" w:rsidRDefault="00B23013" w:rsidP="00B23013">
      <w:pPr>
        <w:widowControl w:val="0"/>
        <w:numPr>
          <w:ilvl w:val="1"/>
          <w:numId w:val="45"/>
        </w:numPr>
        <w:autoSpaceDE w:val="0"/>
        <w:autoSpaceDN w:val="0"/>
        <w:spacing w:line="480" w:lineRule="auto"/>
        <w:outlineLvl w:val="3"/>
        <w:rPr>
          <w:rFonts w:eastAsia="Arial MT" w:cs="Times New Roman"/>
          <w:b/>
          <w:bCs/>
          <w:vanish/>
          <w:color w:val="000000"/>
          <w:szCs w:val="24"/>
          <w:lang w:val="es-ES"/>
        </w:rPr>
      </w:pPr>
      <w:bookmarkStart w:id="6" w:name="_Toc168995842"/>
      <w:bookmarkStart w:id="7" w:name="_Toc169087776"/>
      <w:bookmarkStart w:id="8" w:name="_Toc183305542"/>
      <w:bookmarkStart w:id="9" w:name="_Toc183305637"/>
      <w:bookmarkEnd w:id="6"/>
      <w:bookmarkEnd w:id="7"/>
      <w:bookmarkEnd w:id="8"/>
      <w:bookmarkEnd w:id="9"/>
    </w:p>
    <w:p w14:paraId="3805E217" w14:textId="77777777" w:rsidR="00B23013" w:rsidRPr="00B23013" w:rsidRDefault="00B23013" w:rsidP="00B23013">
      <w:pPr>
        <w:widowControl w:val="0"/>
        <w:numPr>
          <w:ilvl w:val="2"/>
          <w:numId w:val="45"/>
        </w:numPr>
        <w:autoSpaceDE w:val="0"/>
        <w:autoSpaceDN w:val="0"/>
        <w:spacing w:line="480" w:lineRule="auto"/>
        <w:outlineLvl w:val="3"/>
        <w:rPr>
          <w:rFonts w:eastAsia="Arial MT" w:cs="Times New Roman"/>
          <w:b/>
          <w:bCs/>
          <w:vanish/>
          <w:color w:val="000000"/>
          <w:szCs w:val="24"/>
          <w:lang w:val="es-ES"/>
        </w:rPr>
      </w:pPr>
      <w:bookmarkStart w:id="10" w:name="_Toc168995843"/>
      <w:bookmarkStart w:id="11" w:name="_Toc169087777"/>
      <w:bookmarkStart w:id="12" w:name="_Toc183305543"/>
      <w:bookmarkStart w:id="13" w:name="_Toc183305638"/>
      <w:bookmarkEnd w:id="10"/>
      <w:bookmarkEnd w:id="11"/>
      <w:bookmarkEnd w:id="12"/>
      <w:bookmarkEnd w:id="13"/>
    </w:p>
    <w:p w14:paraId="54BF4E37" w14:textId="7B712DB9" w:rsidR="00B23013" w:rsidRPr="00B23013" w:rsidRDefault="00B23013" w:rsidP="00665243">
      <w:pPr>
        <w:widowControl w:val="0"/>
        <w:autoSpaceDE w:val="0"/>
        <w:autoSpaceDN w:val="0"/>
        <w:spacing w:line="480" w:lineRule="auto"/>
        <w:ind w:firstLine="0"/>
        <w:jc w:val="left"/>
        <w:outlineLvl w:val="2"/>
        <w:rPr>
          <w:rFonts w:eastAsia="Arial" w:cs="Arial"/>
          <w:b/>
          <w:bCs/>
          <w:i/>
          <w:color w:val="000000"/>
          <w:szCs w:val="26"/>
          <w:u w:val="single"/>
          <w:lang w:val="es-ES"/>
        </w:rPr>
      </w:pPr>
      <w:bookmarkStart w:id="14" w:name="_Toc168995844"/>
      <w:bookmarkStart w:id="15" w:name="_Toc183305639"/>
      <w:r w:rsidRPr="00B23013">
        <w:rPr>
          <w:rFonts w:eastAsia="Arial" w:cs="Arial"/>
          <w:b/>
          <w:bCs/>
          <w:i/>
          <w:color w:val="000000"/>
          <w:szCs w:val="26"/>
          <w:lang w:val="es-ES"/>
        </w:rPr>
        <w:t xml:space="preserve"> </w:t>
      </w:r>
      <w:r w:rsidRPr="00B23013">
        <w:rPr>
          <w:rFonts w:eastAsia="Arial" w:cs="Arial"/>
          <w:b/>
          <w:bCs/>
          <w:i/>
          <w:color w:val="000000"/>
          <w:szCs w:val="26"/>
          <w:u w:val="single"/>
          <w:lang w:val="es-ES"/>
        </w:rPr>
        <w:t>Resultados inferenciales hipótesis general</w:t>
      </w:r>
      <w:bookmarkEnd w:id="14"/>
      <w:bookmarkEnd w:id="15"/>
    </w:p>
    <w:p w14:paraId="4A288738"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Hi: Los factores académicos se relacionan de forma positiva con una menor deserción estudiantil en la carrera técnica de contabilidad del Instituto Superior Tecnológico Público Argentina en el periodo 2021-2023.</w:t>
      </w:r>
    </w:p>
    <w:p w14:paraId="0FD8571F" w14:textId="7BD746DA" w:rsid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H0: Los factores académicos no se relacionan de forma positiva con una menor deserción estudiantil en la carrera técnica de contabilidad del Instituto Superior Tecnológico Público Argentina en el periodo 2021-2023.</w:t>
      </w:r>
    </w:p>
    <w:p w14:paraId="0CC601CC" w14:textId="233FB877" w:rsidR="0002329A" w:rsidRDefault="0002329A" w:rsidP="00665243">
      <w:pPr>
        <w:widowControl w:val="0"/>
        <w:autoSpaceDE w:val="0"/>
        <w:autoSpaceDN w:val="0"/>
        <w:rPr>
          <w:rFonts w:eastAsia="Arial MT" w:cs="Times New Roman"/>
          <w:color w:val="000000"/>
          <w:szCs w:val="24"/>
          <w:lang w:val="es-ES"/>
        </w:rPr>
      </w:pPr>
    </w:p>
    <w:p w14:paraId="5E948066" w14:textId="3EE80CE9" w:rsidR="0002329A" w:rsidRDefault="0002329A" w:rsidP="00665243">
      <w:pPr>
        <w:widowControl w:val="0"/>
        <w:autoSpaceDE w:val="0"/>
        <w:autoSpaceDN w:val="0"/>
        <w:rPr>
          <w:rFonts w:eastAsia="Arial MT" w:cs="Times New Roman"/>
          <w:color w:val="000000"/>
          <w:szCs w:val="24"/>
          <w:lang w:val="es-ES"/>
        </w:rPr>
      </w:pPr>
    </w:p>
    <w:p w14:paraId="6744098B" w14:textId="3F1AEE3E" w:rsidR="0002329A" w:rsidRDefault="0002329A" w:rsidP="00665243">
      <w:pPr>
        <w:widowControl w:val="0"/>
        <w:autoSpaceDE w:val="0"/>
        <w:autoSpaceDN w:val="0"/>
        <w:rPr>
          <w:rFonts w:eastAsia="Arial MT" w:cs="Times New Roman"/>
          <w:color w:val="000000"/>
          <w:szCs w:val="24"/>
          <w:lang w:val="es-ES"/>
        </w:rPr>
      </w:pPr>
    </w:p>
    <w:p w14:paraId="07329007" w14:textId="77777777" w:rsidR="0002329A" w:rsidRPr="00B23013" w:rsidRDefault="0002329A" w:rsidP="00665243">
      <w:pPr>
        <w:widowControl w:val="0"/>
        <w:autoSpaceDE w:val="0"/>
        <w:autoSpaceDN w:val="0"/>
        <w:rPr>
          <w:rFonts w:eastAsia="Arial MT" w:cs="Times New Roman"/>
          <w:color w:val="000000"/>
          <w:szCs w:val="24"/>
          <w:lang w:val="es-ES"/>
        </w:rPr>
      </w:pPr>
    </w:p>
    <w:p w14:paraId="799309B0" w14:textId="0F8820D4" w:rsidR="00B23013" w:rsidRPr="00B23013" w:rsidRDefault="00B23013" w:rsidP="00665243">
      <w:pPr>
        <w:widowControl w:val="0"/>
        <w:autoSpaceDE w:val="0"/>
        <w:autoSpaceDN w:val="0"/>
        <w:ind w:firstLine="0"/>
        <w:rPr>
          <w:rFonts w:eastAsia="Arial MT" w:cs="Times New Roman"/>
          <w:b/>
          <w:bCs/>
          <w:color w:val="000000"/>
          <w:szCs w:val="24"/>
          <w:lang w:val="es-ES"/>
        </w:rPr>
      </w:pPr>
      <w:bookmarkStart w:id="16" w:name="_Toc169067451"/>
      <w:r w:rsidRPr="00B23013">
        <w:rPr>
          <w:rFonts w:eastAsia="Arial MT" w:cs="Times New Roman"/>
          <w:b/>
          <w:bCs/>
          <w:color w:val="000000"/>
          <w:szCs w:val="24"/>
          <w:lang w:val="es-ES"/>
        </w:rPr>
        <w:lastRenderedPageBreak/>
        <w:t xml:space="preserve">Tabla </w:t>
      </w:r>
      <w:r w:rsidR="00665243">
        <w:rPr>
          <w:rFonts w:eastAsia="Arial MT" w:cs="Times New Roman"/>
          <w:b/>
          <w:bCs/>
          <w:color w:val="000000"/>
          <w:szCs w:val="24"/>
          <w:lang w:val="es-ES"/>
        </w:rPr>
        <w:t>1</w:t>
      </w:r>
    </w:p>
    <w:p w14:paraId="18E7A571" w14:textId="77777777" w:rsidR="00B23013" w:rsidRPr="00B23013" w:rsidRDefault="00B23013" w:rsidP="00665243">
      <w:pPr>
        <w:widowControl w:val="0"/>
        <w:autoSpaceDE w:val="0"/>
        <w:autoSpaceDN w:val="0"/>
        <w:ind w:firstLine="0"/>
        <w:rPr>
          <w:rFonts w:eastAsia="Arial MT" w:cs="Times New Roman"/>
          <w:i/>
          <w:iCs/>
          <w:color w:val="000000"/>
          <w:szCs w:val="24"/>
          <w:lang w:val="es-ES"/>
        </w:rPr>
      </w:pPr>
      <w:r w:rsidRPr="00B23013">
        <w:rPr>
          <w:rFonts w:eastAsia="Arial MT" w:cs="Times New Roman"/>
          <w:i/>
          <w:iCs/>
          <w:color w:val="000000"/>
          <w:position w:val="1"/>
          <w:szCs w:val="24"/>
          <w:lang w:val="es-ES"/>
        </w:rPr>
        <w:t xml:space="preserve">Correlación entre </w:t>
      </w:r>
      <w:r w:rsidRPr="00B23013">
        <w:rPr>
          <w:rFonts w:eastAsia="Arial MT" w:cs="Times New Roman"/>
          <w:i/>
          <w:iCs/>
          <w:color w:val="000000"/>
          <w:szCs w:val="24"/>
          <w:lang w:val="es-ES"/>
        </w:rPr>
        <w:t>factores académicos y deserción estudiantil</w:t>
      </w:r>
      <w:bookmarkEnd w:id="16"/>
    </w:p>
    <w:tbl>
      <w:tblPr>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4"/>
        <w:gridCol w:w="2041"/>
        <w:gridCol w:w="2372"/>
        <w:gridCol w:w="1419"/>
        <w:gridCol w:w="1421"/>
      </w:tblGrid>
      <w:tr w:rsidR="00B23013" w:rsidRPr="00B23013" w14:paraId="5D334AC4" w14:textId="77777777" w:rsidTr="0002329A">
        <w:trPr>
          <w:cantSplit/>
          <w:trHeight w:val="882"/>
        </w:trPr>
        <w:tc>
          <w:tcPr>
            <w:tcW w:w="6187" w:type="dxa"/>
            <w:gridSpan w:val="3"/>
            <w:tcBorders>
              <w:top w:val="single" w:sz="4" w:space="0" w:color="auto"/>
              <w:left w:val="nil"/>
              <w:bottom w:val="single" w:sz="8" w:space="0" w:color="152935"/>
              <w:right w:val="nil"/>
            </w:tcBorders>
            <w:shd w:val="clear" w:color="auto" w:fill="FFFFFF"/>
            <w:vAlign w:val="bottom"/>
          </w:tcPr>
          <w:p w14:paraId="09C2A750" w14:textId="77777777" w:rsidR="00B23013" w:rsidRPr="00B23013" w:rsidRDefault="00B23013" w:rsidP="00665243">
            <w:pPr>
              <w:autoSpaceDE w:val="0"/>
              <w:autoSpaceDN w:val="0"/>
              <w:adjustRightInd w:val="0"/>
              <w:ind w:firstLine="0"/>
              <w:rPr>
                <w:rFonts w:eastAsia="Calibri" w:cs="Times New Roman"/>
                <w:color w:val="000000"/>
                <w:szCs w:val="24"/>
              </w:rPr>
            </w:pPr>
          </w:p>
        </w:tc>
        <w:tc>
          <w:tcPr>
            <w:tcW w:w="1419" w:type="dxa"/>
            <w:tcBorders>
              <w:top w:val="single" w:sz="4" w:space="0" w:color="auto"/>
              <w:left w:val="nil"/>
              <w:bottom w:val="single" w:sz="8" w:space="0" w:color="152935"/>
              <w:right w:val="single" w:sz="8" w:space="0" w:color="E0E0E0"/>
            </w:tcBorders>
            <w:shd w:val="clear" w:color="auto" w:fill="FFFFFF"/>
            <w:vAlign w:val="bottom"/>
            <w:hideMark/>
          </w:tcPr>
          <w:p w14:paraId="0B995194" w14:textId="77777777" w:rsidR="00B23013" w:rsidRPr="00B23013" w:rsidRDefault="00B23013" w:rsidP="00665243">
            <w:pPr>
              <w:autoSpaceDE w:val="0"/>
              <w:autoSpaceDN w:val="0"/>
              <w:adjustRightInd w:val="0"/>
              <w:ind w:left="60" w:right="60" w:firstLine="0"/>
              <w:jc w:val="center"/>
              <w:rPr>
                <w:rFonts w:eastAsia="Calibri" w:cs="Times New Roman"/>
                <w:color w:val="000000"/>
                <w:sz w:val="18"/>
                <w:szCs w:val="18"/>
              </w:rPr>
            </w:pPr>
            <w:r w:rsidRPr="00B23013">
              <w:rPr>
                <w:rFonts w:eastAsia="Calibri" w:cs="Times New Roman"/>
                <w:color w:val="000000"/>
                <w:sz w:val="18"/>
                <w:szCs w:val="18"/>
              </w:rPr>
              <w:t>Factores académicos</w:t>
            </w:r>
          </w:p>
        </w:tc>
        <w:tc>
          <w:tcPr>
            <w:tcW w:w="1420" w:type="dxa"/>
            <w:tcBorders>
              <w:top w:val="single" w:sz="4" w:space="0" w:color="auto"/>
              <w:left w:val="single" w:sz="8" w:space="0" w:color="E0E0E0"/>
              <w:bottom w:val="single" w:sz="8" w:space="0" w:color="152935"/>
              <w:right w:val="nil"/>
            </w:tcBorders>
            <w:shd w:val="clear" w:color="auto" w:fill="FFFFFF"/>
            <w:vAlign w:val="bottom"/>
            <w:hideMark/>
          </w:tcPr>
          <w:p w14:paraId="13DB4002" w14:textId="77777777" w:rsidR="00B23013" w:rsidRPr="00B23013" w:rsidRDefault="00B23013" w:rsidP="00665243">
            <w:pPr>
              <w:autoSpaceDE w:val="0"/>
              <w:autoSpaceDN w:val="0"/>
              <w:adjustRightInd w:val="0"/>
              <w:ind w:left="60" w:right="60" w:firstLine="0"/>
              <w:jc w:val="center"/>
              <w:rPr>
                <w:rFonts w:eastAsia="Calibri" w:cs="Times New Roman"/>
                <w:color w:val="000000"/>
                <w:sz w:val="18"/>
                <w:szCs w:val="18"/>
              </w:rPr>
            </w:pPr>
            <w:r w:rsidRPr="00B23013">
              <w:rPr>
                <w:rFonts w:eastAsia="Calibri" w:cs="Times New Roman"/>
                <w:color w:val="000000"/>
                <w:sz w:val="18"/>
                <w:szCs w:val="18"/>
              </w:rPr>
              <w:t>Deserción estudiantil</w:t>
            </w:r>
          </w:p>
        </w:tc>
      </w:tr>
      <w:tr w:rsidR="0002329A" w:rsidRPr="00B23013" w14:paraId="01282F52" w14:textId="77777777" w:rsidTr="0002329A">
        <w:trPr>
          <w:cantSplit/>
          <w:trHeight w:val="439"/>
        </w:trPr>
        <w:tc>
          <w:tcPr>
            <w:tcW w:w="1774" w:type="dxa"/>
            <w:vMerge w:val="restart"/>
            <w:tcBorders>
              <w:top w:val="single" w:sz="8" w:space="0" w:color="152935"/>
              <w:left w:val="nil"/>
              <w:bottom w:val="single" w:sz="8" w:space="0" w:color="152935"/>
              <w:right w:val="nil"/>
            </w:tcBorders>
            <w:shd w:val="clear" w:color="auto" w:fill="E0E0E0"/>
            <w:hideMark/>
          </w:tcPr>
          <w:p w14:paraId="13C82A55"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Rho de Spearman</w:t>
            </w:r>
          </w:p>
        </w:tc>
        <w:tc>
          <w:tcPr>
            <w:tcW w:w="2041" w:type="dxa"/>
            <w:vMerge w:val="restart"/>
            <w:tcBorders>
              <w:top w:val="single" w:sz="8" w:space="0" w:color="152935"/>
              <w:left w:val="nil"/>
              <w:bottom w:val="nil"/>
              <w:right w:val="nil"/>
            </w:tcBorders>
            <w:shd w:val="clear" w:color="auto" w:fill="E0E0E0"/>
            <w:hideMark/>
          </w:tcPr>
          <w:p w14:paraId="010CAC4A"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Factores académicos</w:t>
            </w:r>
          </w:p>
        </w:tc>
        <w:tc>
          <w:tcPr>
            <w:tcW w:w="2370" w:type="dxa"/>
            <w:tcBorders>
              <w:top w:val="single" w:sz="8" w:space="0" w:color="152935"/>
              <w:left w:val="nil"/>
              <w:bottom w:val="single" w:sz="8" w:space="0" w:color="AEAEAE"/>
              <w:right w:val="nil"/>
            </w:tcBorders>
            <w:shd w:val="clear" w:color="auto" w:fill="E0E0E0"/>
            <w:hideMark/>
          </w:tcPr>
          <w:p w14:paraId="5E3A4934"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19" w:type="dxa"/>
            <w:tcBorders>
              <w:top w:val="single" w:sz="8" w:space="0" w:color="152935"/>
              <w:left w:val="nil"/>
              <w:bottom w:val="single" w:sz="8" w:space="0" w:color="AEAEAE"/>
              <w:right w:val="single" w:sz="8" w:space="0" w:color="E0E0E0"/>
            </w:tcBorders>
            <w:shd w:val="clear" w:color="auto" w:fill="FFFFFF"/>
            <w:hideMark/>
          </w:tcPr>
          <w:p w14:paraId="7D17442D"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c>
          <w:tcPr>
            <w:tcW w:w="1420" w:type="dxa"/>
            <w:tcBorders>
              <w:top w:val="single" w:sz="8" w:space="0" w:color="152935"/>
              <w:left w:val="single" w:sz="8" w:space="0" w:color="E0E0E0"/>
              <w:bottom w:val="single" w:sz="8" w:space="0" w:color="AEAEAE"/>
              <w:right w:val="nil"/>
            </w:tcBorders>
            <w:shd w:val="clear" w:color="auto" w:fill="FFFFFF"/>
            <w:hideMark/>
          </w:tcPr>
          <w:p w14:paraId="009F7A6C"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,521</w:t>
            </w:r>
            <w:r w:rsidRPr="00B23013">
              <w:rPr>
                <w:rFonts w:eastAsia="Calibri" w:cs="Times New Roman"/>
                <w:color w:val="000000"/>
                <w:sz w:val="18"/>
                <w:szCs w:val="18"/>
                <w:vertAlign w:val="superscript"/>
              </w:rPr>
              <w:t>**</w:t>
            </w:r>
          </w:p>
        </w:tc>
      </w:tr>
      <w:tr w:rsidR="0002329A" w:rsidRPr="00B23013" w14:paraId="06DF1FF8" w14:textId="77777777" w:rsidTr="0002329A">
        <w:trPr>
          <w:cantSplit/>
          <w:trHeight w:val="468"/>
        </w:trPr>
        <w:tc>
          <w:tcPr>
            <w:tcW w:w="1774" w:type="dxa"/>
            <w:vMerge/>
            <w:tcBorders>
              <w:top w:val="single" w:sz="8" w:space="0" w:color="152935"/>
              <w:left w:val="nil"/>
              <w:bottom w:val="single" w:sz="8" w:space="0" w:color="152935"/>
              <w:right w:val="nil"/>
            </w:tcBorders>
            <w:vAlign w:val="center"/>
            <w:hideMark/>
          </w:tcPr>
          <w:p w14:paraId="7DAC0519"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41" w:type="dxa"/>
            <w:vMerge/>
            <w:tcBorders>
              <w:top w:val="single" w:sz="8" w:space="0" w:color="152935"/>
              <w:left w:val="nil"/>
              <w:bottom w:val="nil"/>
              <w:right w:val="nil"/>
            </w:tcBorders>
            <w:vAlign w:val="center"/>
            <w:hideMark/>
          </w:tcPr>
          <w:p w14:paraId="4B4C9125"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70" w:type="dxa"/>
            <w:tcBorders>
              <w:top w:val="single" w:sz="8" w:space="0" w:color="AEAEAE"/>
              <w:left w:val="nil"/>
              <w:bottom w:val="single" w:sz="8" w:space="0" w:color="AEAEAE"/>
              <w:right w:val="nil"/>
            </w:tcBorders>
            <w:shd w:val="clear" w:color="auto" w:fill="E0E0E0"/>
            <w:hideMark/>
          </w:tcPr>
          <w:p w14:paraId="536909BD"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19" w:type="dxa"/>
            <w:tcBorders>
              <w:top w:val="single" w:sz="8" w:space="0" w:color="AEAEAE"/>
              <w:left w:val="nil"/>
              <w:bottom w:val="single" w:sz="8" w:space="0" w:color="AEAEAE"/>
              <w:right w:val="single" w:sz="8" w:space="0" w:color="E0E0E0"/>
            </w:tcBorders>
            <w:shd w:val="clear" w:color="auto" w:fill="FFFFFF"/>
            <w:hideMark/>
          </w:tcPr>
          <w:p w14:paraId="7FA77491"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c>
          <w:tcPr>
            <w:tcW w:w="1420" w:type="dxa"/>
            <w:tcBorders>
              <w:top w:val="single" w:sz="8" w:space="0" w:color="AEAEAE"/>
              <w:left w:val="single" w:sz="8" w:space="0" w:color="E0E0E0"/>
              <w:bottom w:val="single" w:sz="8" w:space="0" w:color="AEAEAE"/>
              <w:right w:val="nil"/>
            </w:tcBorders>
            <w:shd w:val="clear" w:color="auto" w:fill="FFFFFF"/>
            <w:hideMark/>
          </w:tcPr>
          <w:p w14:paraId="562FE7DE"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r>
      <w:tr w:rsidR="0002329A" w:rsidRPr="00B23013" w14:paraId="5592B3CA" w14:textId="77777777" w:rsidTr="0002329A">
        <w:trPr>
          <w:cantSplit/>
          <w:trHeight w:val="468"/>
        </w:trPr>
        <w:tc>
          <w:tcPr>
            <w:tcW w:w="1774" w:type="dxa"/>
            <w:vMerge/>
            <w:tcBorders>
              <w:top w:val="single" w:sz="8" w:space="0" w:color="152935"/>
              <w:left w:val="nil"/>
              <w:bottom w:val="single" w:sz="8" w:space="0" w:color="152935"/>
              <w:right w:val="nil"/>
            </w:tcBorders>
            <w:vAlign w:val="center"/>
            <w:hideMark/>
          </w:tcPr>
          <w:p w14:paraId="38DA2B49"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41" w:type="dxa"/>
            <w:vMerge/>
            <w:tcBorders>
              <w:top w:val="single" w:sz="8" w:space="0" w:color="152935"/>
              <w:left w:val="nil"/>
              <w:bottom w:val="nil"/>
              <w:right w:val="nil"/>
            </w:tcBorders>
            <w:vAlign w:val="center"/>
            <w:hideMark/>
          </w:tcPr>
          <w:p w14:paraId="24BB6038"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70" w:type="dxa"/>
            <w:tcBorders>
              <w:top w:val="single" w:sz="8" w:space="0" w:color="AEAEAE"/>
              <w:left w:val="nil"/>
              <w:bottom w:val="nil"/>
              <w:right w:val="nil"/>
            </w:tcBorders>
            <w:shd w:val="clear" w:color="auto" w:fill="E0E0E0"/>
            <w:hideMark/>
          </w:tcPr>
          <w:p w14:paraId="43670FDF"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19" w:type="dxa"/>
            <w:tcBorders>
              <w:top w:val="single" w:sz="8" w:space="0" w:color="AEAEAE"/>
              <w:left w:val="nil"/>
              <w:bottom w:val="nil"/>
              <w:right w:val="single" w:sz="8" w:space="0" w:color="E0E0E0"/>
            </w:tcBorders>
            <w:shd w:val="clear" w:color="auto" w:fill="FFFFFF"/>
            <w:hideMark/>
          </w:tcPr>
          <w:p w14:paraId="63D8BB72"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0" w:type="dxa"/>
            <w:tcBorders>
              <w:top w:val="single" w:sz="8" w:space="0" w:color="AEAEAE"/>
              <w:left w:val="single" w:sz="8" w:space="0" w:color="E0E0E0"/>
              <w:bottom w:val="nil"/>
              <w:right w:val="nil"/>
            </w:tcBorders>
            <w:shd w:val="clear" w:color="auto" w:fill="FFFFFF"/>
            <w:hideMark/>
          </w:tcPr>
          <w:p w14:paraId="0C9BF1AA"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02329A" w:rsidRPr="00B23013" w14:paraId="683E24EA" w14:textId="77777777" w:rsidTr="0002329A">
        <w:trPr>
          <w:cantSplit/>
          <w:trHeight w:val="496"/>
        </w:trPr>
        <w:tc>
          <w:tcPr>
            <w:tcW w:w="1774" w:type="dxa"/>
            <w:vMerge/>
            <w:tcBorders>
              <w:top w:val="single" w:sz="8" w:space="0" w:color="152935"/>
              <w:left w:val="nil"/>
              <w:bottom w:val="single" w:sz="8" w:space="0" w:color="152935"/>
              <w:right w:val="nil"/>
            </w:tcBorders>
            <w:vAlign w:val="center"/>
            <w:hideMark/>
          </w:tcPr>
          <w:p w14:paraId="78082C96"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41" w:type="dxa"/>
            <w:vMerge w:val="restart"/>
            <w:tcBorders>
              <w:top w:val="single" w:sz="8" w:space="0" w:color="AEAEAE"/>
              <w:left w:val="nil"/>
              <w:bottom w:val="single" w:sz="8" w:space="0" w:color="152935"/>
              <w:right w:val="nil"/>
            </w:tcBorders>
            <w:shd w:val="clear" w:color="auto" w:fill="E0E0E0"/>
            <w:hideMark/>
          </w:tcPr>
          <w:p w14:paraId="6CA37F62"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Deserción estudiantil</w:t>
            </w:r>
          </w:p>
        </w:tc>
        <w:tc>
          <w:tcPr>
            <w:tcW w:w="2370" w:type="dxa"/>
            <w:tcBorders>
              <w:top w:val="single" w:sz="8" w:space="0" w:color="AEAEAE"/>
              <w:left w:val="nil"/>
              <w:bottom w:val="single" w:sz="8" w:space="0" w:color="AEAEAE"/>
              <w:right w:val="nil"/>
            </w:tcBorders>
            <w:shd w:val="clear" w:color="auto" w:fill="E0E0E0"/>
            <w:hideMark/>
          </w:tcPr>
          <w:p w14:paraId="575ACD68"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19" w:type="dxa"/>
            <w:tcBorders>
              <w:top w:val="single" w:sz="8" w:space="0" w:color="AEAEAE"/>
              <w:left w:val="nil"/>
              <w:bottom w:val="single" w:sz="8" w:space="0" w:color="AEAEAE"/>
              <w:right w:val="single" w:sz="8" w:space="0" w:color="E0E0E0"/>
            </w:tcBorders>
            <w:shd w:val="clear" w:color="auto" w:fill="FFFFFF"/>
            <w:hideMark/>
          </w:tcPr>
          <w:p w14:paraId="518703E5"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,521</w:t>
            </w:r>
            <w:r w:rsidRPr="00B23013">
              <w:rPr>
                <w:rFonts w:eastAsia="Calibri" w:cs="Times New Roman"/>
                <w:color w:val="000000"/>
                <w:sz w:val="18"/>
                <w:szCs w:val="18"/>
                <w:vertAlign w:val="superscript"/>
              </w:rPr>
              <w:t>**</w:t>
            </w:r>
          </w:p>
        </w:tc>
        <w:tc>
          <w:tcPr>
            <w:tcW w:w="1420" w:type="dxa"/>
            <w:tcBorders>
              <w:top w:val="single" w:sz="8" w:space="0" w:color="AEAEAE"/>
              <w:left w:val="single" w:sz="8" w:space="0" w:color="E0E0E0"/>
              <w:bottom w:val="single" w:sz="8" w:space="0" w:color="AEAEAE"/>
              <w:right w:val="nil"/>
            </w:tcBorders>
            <w:shd w:val="clear" w:color="auto" w:fill="FFFFFF"/>
            <w:hideMark/>
          </w:tcPr>
          <w:p w14:paraId="43AD3E5C"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r>
      <w:tr w:rsidR="0002329A" w:rsidRPr="00B23013" w14:paraId="4C86F6D4" w14:textId="77777777" w:rsidTr="0002329A">
        <w:trPr>
          <w:cantSplit/>
          <w:trHeight w:val="468"/>
        </w:trPr>
        <w:tc>
          <w:tcPr>
            <w:tcW w:w="1774" w:type="dxa"/>
            <w:vMerge/>
            <w:tcBorders>
              <w:top w:val="single" w:sz="8" w:space="0" w:color="152935"/>
              <w:left w:val="nil"/>
              <w:bottom w:val="single" w:sz="8" w:space="0" w:color="152935"/>
              <w:right w:val="nil"/>
            </w:tcBorders>
            <w:vAlign w:val="center"/>
            <w:hideMark/>
          </w:tcPr>
          <w:p w14:paraId="331B0884"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41" w:type="dxa"/>
            <w:vMerge/>
            <w:tcBorders>
              <w:top w:val="single" w:sz="8" w:space="0" w:color="AEAEAE"/>
              <w:left w:val="nil"/>
              <w:bottom w:val="single" w:sz="8" w:space="0" w:color="152935"/>
              <w:right w:val="nil"/>
            </w:tcBorders>
            <w:vAlign w:val="center"/>
            <w:hideMark/>
          </w:tcPr>
          <w:p w14:paraId="2F226BD2"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70" w:type="dxa"/>
            <w:tcBorders>
              <w:top w:val="single" w:sz="8" w:space="0" w:color="AEAEAE"/>
              <w:left w:val="nil"/>
              <w:bottom w:val="single" w:sz="8" w:space="0" w:color="AEAEAE"/>
              <w:right w:val="nil"/>
            </w:tcBorders>
            <w:shd w:val="clear" w:color="auto" w:fill="E0E0E0"/>
            <w:hideMark/>
          </w:tcPr>
          <w:p w14:paraId="568F3626"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19" w:type="dxa"/>
            <w:tcBorders>
              <w:top w:val="single" w:sz="8" w:space="0" w:color="AEAEAE"/>
              <w:left w:val="nil"/>
              <w:bottom w:val="single" w:sz="8" w:space="0" w:color="AEAEAE"/>
              <w:right w:val="single" w:sz="8" w:space="0" w:color="E0E0E0"/>
            </w:tcBorders>
            <w:shd w:val="clear" w:color="auto" w:fill="FFFFFF"/>
            <w:hideMark/>
          </w:tcPr>
          <w:p w14:paraId="4F1D27FF"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c>
          <w:tcPr>
            <w:tcW w:w="1420" w:type="dxa"/>
            <w:tcBorders>
              <w:top w:val="single" w:sz="8" w:space="0" w:color="AEAEAE"/>
              <w:left w:val="single" w:sz="8" w:space="0" w:color="E0E0E0"/>
              <w:bottom w:val="single" w:sz="8" w:space="0" w:color="AEAEAE"/>
              <w:right w:val="nil"/>
            </w:tcBorders>
            <w:shd w:val="clear" w:color="auto" w:fill="FFFFFF"/>
            <w:hideMark/>
          </w:tcPr>
          <w:p w14:paraId="2C943376"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r>
      <w:tr w:rsidR="0002329A" w:rsidRPr="00B23013" w14:paraId="2B32CC3B" w14:textId="77777777" w:rsidTr="0002329A">
        <w:trPr>
          <w:cantSplit/>
          <w:trHeight w:val="468"/>
        </w:trPr>
        <w:tc>
          <w:tcPr>
            <w:tcW w:w="1774" w:type="dxa"/>
            <w:vMerge/>
            <w:tcBorders>
              <w:top w:val="single" w:sz="8" w:space="0" w:color="152935"/>
              <w:left w:val="nil"/>
              <w:bottom w:val="single" w:sz="8" w:space="0" w:color="152935"/>
              <w:right w:val="nil"/>
            </w:tcBorders>
            <w:vAlign w:val="center"/>
            <w:hideMark/>
          </w:tcPr>
          <w:p w14:paraId="70B80F5C"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41" w:type="dxa"/>
            <w:vMerge/>
            <w:tcBorders>
              <w:top w:val="single" w:sz="8" w:space="0" w:color="AEAEAE"/>
              <w:left w:val="nil"/>
              <w:bottom w:val="single" w:sz="8" w:space="0" w:color="152935"/>
              <w:right w:val="nil"/>
            </w:tcBorders>
            <w:vAlign w:val="center"/>
            <w:hideMark/>
          </w:tcPr>
          <w:p w14:paraId="60322F49"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70" w:type="dxa"/>
            <w:tcBorders>
              <w:top w:val="single" w:sz="8" w:space="0" w:color="AEAEAE"/>
              <w:left w:val="nil"/>
              <w:bottom w:val="single" w:sz="8" w:space="0" w:color="152935"/>
              <w:right w:val="nil"/>
            </w:tcBorders>
            <w:shd w:val="clear" w:color="auto" w:fill="E0E0E0"/>
            <w:hideMark/>
          </w:tcPr>
          <w:p w14:paraId="004CEEE5"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19" w:type="dxa"/>
            <w:tcBorders>
              <w:top w:val="single" w:sz="8" w:space="0" w:color="AEAEAE"/>
              <w:left w:val="nil"/>
              <w:bottom w:val="single" w:sz="8" w:space="0" w:color="152935"/>
              <w:right w:val="single" w:sz="8" w:space="0" w:color="E0E0E0"/>
            </w:tcBorders>
            <w:shd w:val="clear" w:color="auto" w:fill="FFFFFF"/>
            <w:hideMark/>
          </w:tcPr>
          <w:p w14:paraId="227585D5"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0" w:type="dxa"/>
            <w:tcBorders>
              <w:top w:val="single" w:sz="8" w:space="0" w:color="AEAEAE"/>
              <w:left w:val="single" w:sz="8" w:space="0" w:color="E0E0E0"/>
              <w:bottom w:val="single" w:sz="8" w:space="0" w:color="152935"/>
              <w:right w:val="nil"/>
            </w:tcBorders>
            <w:shd w:val="clear" w:color="auto" w:fill="FFFFFF"/>
            <w:hideMark/>
          </w:tcPr>
          <w:p w14:paraId="119C1087"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49E5064A" w14:textId="77777777" w:rsidTr="0002329A">
        <w:trPr>
          <w:cantSplit/>
          <w:trHeight w:val="439"/>
        </w:trPr>
        <w:tc>
          <w:tcPr>
            <w:tcW w:w="9027" w:type="dxa"/>
            <w:gridSpan w:val="5"/>
            <w:tcBorders>
              <w:top w:val="nil"/>
              <w:left w:val="nil"/>
              <w:bottom w:val="nil"/>
              <w:right w:val="nil"/>
            </w:tcBorders>
            <w:shd w:val="clear" w:color="auto" w:fill="FFFFFF"/>
            <w:hideMark/>
          </w:tcPr>
          <w:p w14:paraId="56D1CE52"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 La correlación es significativa en el nivel 0,01 (bilateral).</w:t>
            </w:r>
          </w:p>
        </w:tc>
      </w:tr>
    </w:tbl>
    <w:p w14:paraId="178350CF" w14:textId="15534060" w:rsid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La tabla de correlaciones muestra que concurre una correlación positiva y reveladora entre los factores académicos y una menor deserción estudiantil en la carrera técnica de Contabilidad del Instituto Superior Tecnológico Público Argentina. El factor de reciprocidad de Spearman (rho) es 0.521, lo que muestra una correspondencia moderada entre las dos variables. Esta reciprocidad es reveladora al grado 0.01, con un importe p de 0.000, esto insinúa que a medida que los factores académicos se perciben como más favorables, disminuye la probabilidad de deserción estudiantil. El volumen de la muestra es de 100 alumnos, lo que proporciona una base sólida para estas conclusiones.</w:t>
      </w:r>
    </w:p>
    <w:p w14:paraId="23BFD62A" w14:textId="1976F98B" w:rsidR="00B23013" w:rsidRPr="00B23013" w:rsidRDefault="00B23013" w:rsidP="00665243">
      <w:pPr>
        <w:widowControl w:val="0"/>
        <w:autoSpaceDE w:val="0"/>
        <w:autoSpaceDN w:val="0"/>
        <w:ind w:firstLine="0"/>
        <w:outlineLvl w:val="3"/>
        <w:rPr>
          <w:rFonts w:eastAsia="Arial MT" w:cs="Times New Roman"/>
          <w:b/>
          <w:bCs/>
          <w:i/>
          <w:iCs/>
          <w:color w:val="000000"/>
          <w:szCs w:val="24"/>
          <w:u w:val="single"/>
          <w:lang w:val="es-ES"/>
        </w:rPr>
      </w:pPr>
      <w:bookmarkStart w:id="17" w:name="_Toc168995845"/>
      <w:bookmarkStart w:id="18" w:name="_Toc183305640"/>
      <w:r w:rsidRPr="00B23013">
        <w:rPr>
          <w:rFonts w:eastAsia="Arial MT" w:cs="Times New Roman"/>
          <w:b/>
          <w:bCs/>
          <w:i/>
          <w:iCs/>
          <w:color w:val="000000"/>
          <w:szCs w:val="24"/>
          <w:u w:val="single"/>
          <w:lang w:val="es-ES"/>
        </w:rPr>
        <w:t>Resultados inferenciales hipótesis específica 1</w:t>
      </w:r>
      <w:bookmarkEnd w:id="17"/>
      <w:bookmarkEnd w:id="18"/>
    </w:p>
    <w:p w14:paraId="1187CF3E"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Hi: La preparación docente se relaciona de forma positiva con una menor deserción estudiantil en la carrera técnica de contabilidad del Instituto Superior Tecnológico Público Argentina en el periodo 2021-2023.</w:t>
      </w:r>
    </w:p>
    <w:p w14:paraId="22264A07" w14:textId="43D93A05" w:rsid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H0: La preparación docente no se relaciona de forma positiva con una menor deserción estudiantil en la carrera técnica de contabilidad del Instituto Superior Tecnológico Público Argentina en el periodo 2021-2023.</w:t>
      </w:r>
    </w:p>
    <w:p w14:paraId="7F93AD60" w14:textId="5F6F3ABA" w:rsidR="0002329A" w:rsidRDefault="0002329A" w:rsidP="00665243">
      <w:pPr>
        <w:widowControl w:val="0"/>
        <w:autoSpaceDE w:val="0"/>
        <w:autoSpaceDN w:val="0"/>
        <w:rPr>
          <w:rFonts w:eastAsia="Arial MT" w:cs="Times New Roman"/>
          <w:color w:val="000000"/>
          <w:szCs w:val="24"/>
          <w:lang w:val="es-ES"/>
        </w:rPr>
      </w:pPr>
    </w:p>
    <w:p w14:paraId="492CDF57" w14:textId="43CD9296" w:rsidR="0002329A" w:rsidRDefault="0002329A" w:rsidP="00665243">
      <w:pPr>
        <w:widowControl w:val="0"/>
        <w:autoSpaceDE w:val="0"/>
        <w:autoSpaceDN w:val="0"/>
        <w:rPr>
          <w:rFonts w:eastAsia="Arial MT" w:cs="Times New Roman"/>
          <w:color w:val="000000"/>
          <w:szCs w:val="24"/>
          <w:lang w:val="es-ES"/>
        </w:rPr>
      </w:pPr>
    </w:p>
    <w:p w14:paraId="407D6693" w14:textId="312BF191" w:rsidR="0002329A" w:rsidRDefault="0002329A" w:rsidP="00665243">
      <w:pPr>
        <w:widowControl w:val="0"/>
        <w:autoSpaceDE w:val="0"/>
        <w:autoSpaceDN w:val="0"/>
        <w:rPr>
          <w:rFonts w:eastAsia="Arial MT" w:cs="Times New Roman"/>
          <w:color w:val="000000"/>
          <w:szCs w:val="24"/>
          <w:lang w:val="es-ES"/>
        </w:rPr>
      </w:pPr>
    </w:p>
    <w:p w14:paraId="7DDF0FD4" w14:textId="632FD324" w:rsidR="0002329A" w:rsidRDefault="0002329A" w:rsidP="00665243">
      <w:pPr>
        <w:widowControl w:val="0"/>
        <w:autoSpaceDE w:val="0"/>
        <w:autoSpaceDN w:val="0"/>
        <w:rPr>
          <w:rFonts w:eastAsia="Arial MT" w:cs="Times New Roman"/>
          <w:color w:val="000000"/>
          <w:szCs w:val="24"/>
          <w:lang w:val="es-ES"/>
        </w:rPr>
      </w:pPr>
    </w:p>
    <w:p w14:paraId="3CC3F008" w14:textId="538F9C90" w:rsidR="0002329A" w:rsidRDefault="0002329A" w:rsidP="00665243">
      <w:pPr>
        <w:widowControl w:val="0"/>
        <w:autoSpaceDE w:val="0"/>
        <w:autoSpaceDN w:val="0"/>
        <w:rPr>
          <w:rFonts w:eastAsia="Arial MT" w:cs="Times New Roman"/>
          <w:color w:val="000000"/>
          <w:szCs w:val="24"/>
          <w:lang w:val="es-ES"/>
        </w:rPr>
      </w:pPr>
    </w:p>
    <w:p w14:paraId="47762371" w14:textId="77777777" w:rsidR="0002329A" w:rsidRDefault="0002329A" w:rsidP="00665243">
      <w:pPr>
        <w:widowControl w:val="0"/>
        <w:autoSpaceDE w:val="0"/>
        <w:autoSpaceDN w:val="0"/>
        <w:rPr>
          <w:rFonts w:eastAsia="Arial MT" w:cs="Times New Roman"/>
          <w:color w:val="000000"/>
          <w:szCs w:val="24"/>
          <w:lang w:val="es-ES"/>
        </w:rPr>
      </w:pPr>
    </w:p>
    <w:p w14:paraId="46DC2D5B" w14:textId="0B04D581" w:rsidR="00B23013" w:rsidRPr="00B23013" w:rsidRDefault="00B23013" w:rsidP="00665243">
      <w:pPr>
        <w:widowControl w:val="0"/>
        <w:autoSpaceDE w:val="0"/>
        <w:autoSpaceDN w:val="0"/>
        <w:ind w:firstLine="0"/>
        <w:rPr>
          <w:rFonts w:eastAsia="Arial MT" w:cs="Times New Roman"/>
          <w:b/>
          <w:bCs/>
          <w:color w:val="000000"/>
          <w:szCs w:val="24"/>
          <w:lang w:val="es-ES"/>
        </w:rPr>
      </w:pPr>
      <w:bookmarkStart w:id="19" w:name="_Toc169067452"/>
      <w:r w:rsidRPr="00B23013">
        <w:rPr>
          <w:rFonts w:eastAsia="Arial MT" w:cs="Times New Roman"/>
          <w:b/>
          <w:bCs/>
          <w:color w:val="000000"/>
          <w:szCs w:val="24"/>
          <w:lang w:val="es-ES"/>
        </w:rPr>
        <w:lastRenderedPageBreak/>
        <w:t xml:space="preserve">Tabla </w:t>
      </w:r>
      <w:r w:rsidR="00665243">
        <w:rPr>
          <w:rFonts w:eastAsia="Arial MT" w:cs="Times New Roman"/>
          <w:b/>
          <w:bCs/>
          <w:color w:val="000000"/>
          <w:szCs w:val="24"/>
          <w:lang w:val="es-ES"/>
        </w:rPr>
        <w:t>2</w:t>
      </w:r>
    </w:p>
    <w:p w14:paraId="07C4D454" w14:textId="77777777" w:rsidR="00B23013" w:rsidRPr="00B23013" w:rsidRDefault="00B23013" w:rsidP="00665243">
      <w:pPr>
        <w:widowControl w:val="0"/>
        <w:autoSpaceDE w:val="0"/>
        <w:autoSpaceDN w:val="0"/>
        <w:ind w:firstLine="0"/>
        <w:rPr>
          <w:rFonts w:eastAsia="Arial MT" w:cs="Times New Roman"/>
          <w:i/>
          <w:iCs/>
          <w:color w:val="000000"/>
          <w:szCs w:val="24"/>
          <w:lang w:val="es-ES"/>
        </w:rPr>
      </w:pPr>
      <w:r w:rsidRPr="00B23013">
        <w:rPr>
          <w:rFonts w:eastAsia="Arial MT" w:cs="Times New Roman"/>
          <w:i/>
          <w:iCs/>
          <w:color w:val="000000"/>
          <w:position w:val="1"/>
          <w:szCs w:val="24"/>
          <w:lang w:val="es-ES"/>
        </w:rPr>
        <w:t xml:space="preserve">Correlación entre </w:t>
      </w:r>
      <w:r w:rsidRPr="00B23013">
        <w:rPr>
          <w:rFonts w:eastAsia="Arial MT" w:cs="Times New Roman"/>
          <w:i/>
          <w:iCs/>
          <w:color w:val="000000"/>
          <w:szCs w:val="24"/>
          <w:lang w:val="es-ES"/>
        </w:rPr>
        <w:t>preparación docente y deserción estudiantil</w:t>
      </w:r>
      <w:bookmarkEnd w:id="19"/>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91"/>
        <w:gridCol w:w="2059"/>
        <w:gridCol w:w="2389"/>
        <w:gridCol w:w="1431"/>
        <w:gridCol w:w="1435"/>
      </w:tblGrid>
      <w:tr w:rsidR="00B23013" w:rsidRPr="00B23013" w14:paraId="5EA4CEB9" w14:textId="77777777" w:rsidTr="0002329A">
        <w:trPr>
          <w:cantSplit/>
          <w:trHeight w:val="534"/>
        </w:trPr>
        <w:tc>
          <w:tcPr>
            <w:tcW w:w="6239" w:type="dxa"/>
            <w:gridSpan w:val="3"/>
            <w:tcBorders>
              <w:top w:val="single" w:sz="4" w:space="0" w:color="auto"/>
              <w:left w:val="nil"/>
              <w:bottom w:val="single" w:sz="8" w:space="0" w:color="152935"/>
              <w:right w:val="nil"/>
            </w:tcBorders>
            <w:shd w:val="clear" w:color="auto" w:fill="FFFFFF"/>
            <w:vAlign w:val="bottom"/>
          </w:tcPr>
          <w:p w14:paraId="25124CF2" w14:textId="77777777" w:rsidR="00B23013" w:rsidRPr="00B23013" w:rsidRDefault="00B23013" w:rsidP="0002329A">
            <w:pPr>
              <w:autoSpaceDE w:val="0"/>
              <w:autoSpaceDN w:val="0"/>
              <w:adjustRightInd w:val="0"/>
              <w:spacing w:line="240" w:lineRule="auto"/>
              <w:ind w:firstLine="0"/>
              <w:rPr>
                <w:rFonts w:eastAsia="Calibri" w:cs="Times New Roman"/>
                <w:color w:val="000000"/>
                <w:szCs w:val="24"/>
              </w:rPr>
            </w:pPr>
          </w:p>
        </w:tc>
        <w:tc>
          <w:tcPr>
            <w:tcW w:w="1431" w:type="dxa"/>
            <w:tcBorders>
              <w:top w:val="single" w:sz="4" w:space="0" w:color="auto"/>
              <w:left w:val="nil"/>
              <w:bottom w:val="single" w:sz="8" w:space="0" w:color="152935"/>
              <w:right w:val="single" w:sz="8" w:space="0" w:color="E0E0E0"/>
            </w:tcBorders>
            <w:shd w:val="clear" w:color="auto" w:fill="FFFFFF"/>
            <w:vAlign w:val="bottom"/>
            <w:hideMark/>
          </w:tcPr>
          <w:p w14:paraId="4A1E9CC1"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Preparación docente</w:t>
            </w:r>
          </w:p>
        </w:tc>
        <w:tc>
          <w:tcPr>
            <w:tcW w:w="1434" w:type="dxa"/>
            <w:tcBorders>
              <w:top w:val="single" w:sz="4" w:space="0" w:color="auto"/>
              <w:left w:val="single" w:sz="8" w:space="0" w:color="E0E0E0"/>
              <w:bottom w:val="single" w:sz="8" w:space="0" w:color="152935"/>
              <w:right w:val="nil"/>
            </w:tcBorders>
            <w:shd w:val="clear" w:color="auto" w:fill="FFFFFF"/>
            <w:vAlign w:val="bottom"/>
            <w:hideMark/>
          </w:tcPr>
          <w:p w14:paraId="137084D6"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Deserción estudiantil</w:t>
            </w:r>
          </w:p>
        </w:tc>
      </w:tr>
      <w:tr w:rsidR="0002329A" w:rsidRPr="00B23013" w14:paraId="16C20B0C" w14:textId="77777777" w:rsidTr="0002329A">
        <w:trPr>
          <w:cantSplit/>
          <w:trHeight w:val="266"/>
        </w:trPr>
        <w:tc>
          <w:tcPr>
            <w:tcW w:w="1791" w:type="dxa"/>
            <w:vMerge w:val="restart"/>
            <w:tcBorders>
              <w:top w:val="single" w:sz="8" w:space="0" w:color="152935"/>
              <w:left w:val="nil"/>
              <w:bottom w:val="single" w:sz="8" w:space="0" w:color="152935"/>
              <w:right w:val="nil"/>
            </w:tcBorders>
            <w:shd w:val="clear" w:color="auto" w:fill="E0E0E0"/>
            <w:hideMark/>
          </w:tcPr>
          <w:p w14:paraId="739B65E5"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Rho de Spearman</w:t>
            </w:r>
          </w:p>
        </w:tc>
        <w:tc>
          <w:tcPr>
            <w:tcW w:w="2059" w:type="dxa"/>
            <w:vMerge w:val="restart"/>
            <w:tcBorders>
              <w:top w:val="single" w:sz="8" w:space="0" w:color="152935"/>
              <w:left w:val="nil"/>
              <w:bottom w:val="nil"/>
              <w:right w:val="nil"/>
            </w:tcBorders>
            <w:shd w:val="clear" w:color="auto" w:fill="E0E0E0"/>
            <w:hideMark/>
          </w:tcPr>
          <w:p w14:paraId="2BA10877"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Factores académicos</w:t>
            </w:r>
          </w:p>
        </w:tc>
        <w:tc>
          <w:tcPr>
            <w:tcW w:w="2388" w:type="dxa"/>
            <w:tcBorders>
              <w:top w:val="single" w:sz="8" w:space="0" w:color="152935"/>
              <w:left w:val="nil"/>
              <w:bottom w:val="single" w:sz="8" w:space="0" w:color="AEAEAE"/>
              <w:right w:val="nil"/>
            </w:tcBorders>
            <w:shd w:val="clear" w:color="auto" w:fill="E0E0E0"/>
            <w:hideMark/>
          </w:tcPr>
          <w:p w14:paraId="5BCE83E3"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31" w:type="dxa"/>
            <w:tcBorders>
              <w:top w:val="single" w:sz="8" w:space="0" w:color="152935"/>
              <w:left w:val="nil"/>
              <w:bottom w:val="single" w:sz="8" w:space="0" w:color="AEAEAE"/>
              <w:right w:val="single" w:sz="8" w:space="0" w:color="E0E0E0"/>
            </w:tcBorders>
            <w:shd w:val="clear" w:color="auto" w:fill="FFFFFF"/>
            <w:hideMark/>
          </w:tcPr>
          <w:p w14:paraId="1CA68052"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c>
          <w:tcPr>
            <w:tcW w:w="1434" w:type="dxa"/>
            <w:tcBorders>
              <w:top w:val="single" w:sz="8" w:space="0" w:color="152935"/>
              <w:left w:val="single" w:sz="8" w:space="0" w:color="E0E0E0"/>
              <w:bottom w:val="single" w:sz="8" w:space="0" w:color="AEAEAE"/>
              <w:right w:val="nil"/>
            </w:tcBorders>
            <w:shd w:val="clear" w:color="auto" w:fill="FFFFFF"/>
            <w:hideMark/>
          </w:tcPr>
          <w:p w14:paraId="3A958FFF"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,624</w:t>
            </w:r>
            <w:r w:rsidRPr="00B23013">
              <w:rPr>
                <w:rFonts w:eastAsia="Calibri" w:cs="Times New Roman"/>
                <w:color w:val="000000"/>
                <w:sz w:val="18"/>
                <w:szCs w:val="18"/>
                <w:vertAlign w:val="superscript"/>
              </w:rPr>
              <w:t>**</w:t>
            </w:r>
          </w:p>
        </w:tc>
      </w:tr>
      <w:tr w:rsidR="0002329A" w:rsidRPr="00B23013" w14:paraId="0B70B8A7" w14:textId="77777777" w:rsidTr="0002329A">
        <w:trPr>
          <w:cantSplit/>
          <w:trHeight w:val="283"/>
        </w:trPr>
        <w:tc>
          <w:tcPr>
            <w:tcW w:w="1791" w:type="dxa"/>
            <w:vMerge/>
            <w:tcBorders>
              <w:top w:val="single" w:sz="8" w:space="0" w:color="152935"/>
              <w:left w:val="nil"/>
              <w:bottom w:val="single" w:sz="8" w:space="0" w:color="152935"/>
              <w:right w:val="nil"/>
            </w:tcBorders>
            <w:vAlign w:val="center"/>
            <w:hideMark/>
          </w:tcPr>
          <w:p w14:paraId="2D2E83EF"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9" w:type="dxa"/>
            <w:vMerge/>
            <w:tcBorders>
              <w:top w:val="single" w:sz="8" w:space="0" w:color="152935"/>
              <w:left w:val="nil"/>
              <w:bottom w:val="nil"/>
              <w:right w:val="nil"/>
            </w:tcBorders>
            <w:vAlign w:val="center"/>
            <w:hideMark/>
          </w:tcPr>
          <w:p w14:paraId="6C88209E"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8" w:type="dxa"/>
            <w:tcBorders>
              <w:top w:val="single" w:sz="8" w:space="0" w:color="AEAEAE"/>
              <w:left w:val="nil"/>
              <w:bottom w:val="single" w:sz="8" w:space="0" w:color="AEAEAE"/>
              <w:right w:val="nil"/>
            </w:tcBorders>
            <w:shd w:val="clear" w:color="auto" w:fill="E0E0E0"/>
            <w:hideMark/>
          </w:tcPr>
          <w:p w14:paraId="3D584176"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31" w:type="dxa"/>
            <w:tcBorders>
              <w:top w:val="single" w:sz="8" w:space="0" w:color="AEAEAE"/>
              <w:left w:val="nil"/>
              <w:bottom w:val="single" w:sz="8" w:space="0" w:color="AEAEAE"/>
              <w:right w:val="single" w:sz="8" w:space="0" w:color="E0E0E0"/>
            </w:tcBorders>
            <w:shd w:val="clear" w:color="auto" w:fill="FFFFFF"/>
            <w:hideMark/>
          </w:tcPr>
          <w:p w14:paraId="7DD433A4"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c>
          <w:tcPr>
            <w:tcW w:w="1434" w:type="dxa"/>
            <w:tcBorders>
              <w:top w:val="single" w:sz="8" w:space="0" w:color="AEAEAE"/>
              <w:left w:val="single" w:sz="8" w:space="0" w:color="E0E0E0"/>
              <w:bottom w:val="single" w:sz="8" w:space="0" w:color="AEAEAE"/>
              <w:right w:val="nil"/>
            </w:tcBorders>
            <w:shd w:val="clear" w:color="auto" w:fill="FFFFFF"/>
            <w:hideMark/>
          </w:tcPr>
          <w:p w14:paraId="50CE0A5F"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r>
      <w:tr w:rsidR="0002329A" w:rsidRPr="00B23013" w14:paraId="4DFF79DB" w14:textId="77777777" w:rsidTr="0002329A">
        <w:trPr>
          <w:cantSplit/>
          <w:trHeight w:val="283"/>
        </w:trPr>
        <w:tc>
          <w:tcPr>
            <w:tcW w:w="1791" w:type="dxa"/>
            <w:vMerge/>
            <w:tcBorders>
              <w:top w:val="single" w:sz="8" w:space="0" w:color="152935"/>
              <w:left w:val="nil"/>
              <w:bottom w:val="single" w:sz="8" w:space="0" w:color="152935"/>
              <w:right w:val="nil"/>
            </w:tcBorders>
            <w:vAlign w:val="center"/>
            <w:hideMark/>
          </w:tcPr>
          <w:p w14:paraId="7E68A5D9"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9" w:type="dxa"/>
            <w:vMerge/>
            <w:tcBorders>
              <w:top w:val="single" w:sz="8" w:space="0" w:color="152935"/>
              <w:left w:val="nil"/>
              <w:bottom w:val="nil"/>
              <w:right w:val="nil"/>
            </w:tcBorders>
            <w:vAlign w:val="center"/>
            <w:hideMark/>
          </w:tcPr>
          <w:p w14:paraId="0FAF651B"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8" w:type="dxa"/>
            <w:tcBorders>
              <w:top w:val="single" w:sz="8" w:space="0" w:color="AEAEAE"/>
              <w:left w:val="nil"/>
              <w:bottom w:val="nil"/>
              <w:right w:val="nil"/>
            </w:tcBorders>
            <w:shd w:val="clear" w:color="auto" w:fill="E0E0E0"/>
            <w:hideMark/>
          </w:tcPr>
          <w:p w14:paraId="56C6663E"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31" w:type="dxa"/>
            <w:tcBorders>
              <w:top w:val="single" w:sz="8" w:space="0" w:color="AEAEAE"/>
              <w:left w:val="nil"/>
              <w:bottom w:val="nil"/>
              <w:right w:val="single" w:sz="8" w:space="0" w:color="E0E0E0"/>
            </w:tcBorders>
            <w:shd w:val="clear" w:color="auto" w:fill="FFFFFF"/>
            <w:hideMark/>
          </w:tcPr>
          <w:p w14:paraId="144D4386"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34" w:type="dxa"/>
            <w:tcBorders>
              <w:top w:val="single" w:sz="8" w:space="0" w:color="AEAEAE"/>
              <w:left w:val="single" w:sz="8" w:space="0" w:color="E0E0E0"/>
              <w:bottom w:val="nil"/>
              <w:right w:val="nil"/>
            </w:tcBorders>
            <w:shd w:val="clear" w:color="auto" w:fill="FFFFFF"/>
            <w:hideMark/>
          </w:tcPr>
          <w:p w14:paraId="73242DD7"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02329A" w:rsidRPr="00B23013" w14:paraId="7650FE6D" w14:textId="77777777" w:rsidTr="0002329A">
        <w:trPr>
          <w:cantSplit/>
          <w:trHeight w:val="300"/>
        </w:trPr>
        <w:tc>
          <w:tcPr>
            <w:tcW w:w="1791" w:type="dxa"/>
            <w:vMerge/>
            <w:tcBorders>
              <w:top w:val="single" w:sz="8" w:space="0" w:color="152935"/>
              <w:left w:val="nil"/>
              <w:bottom w:val="single" w:sz="8" w:space="0" w:color="152935"/>
              <w:right w:val="nil"/>
            </w:tcBorders>
            <w:vAlign w:val="center"/>
            <w:hideMark/>
          </w:tcPr>
          <w:p w14:paraId="5CF29E00"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9" w:type="dxa"/>
            <w:vMerge w:val="restart"/>
            <w:tcBorders>
              <w:top w:val="single" w:sz="8" w:space="0" w:color="AEAEAE"/>
              <w:left w:val="nil"/>
              <w:bottom w:val="single" w:sz="8" w:space="0" w:color="152935"/>
              <w:right w:val="nil"/>
            </w:tcBorders>
            <w:shd w:val="clear" w:color="auto" w:fill="E0E0E0"/>
            <w:hideMark/>
          </w:tcPr>
          <w:p w14:paraId="62A43EDD"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Preparación docente</w:t>
            </w:r>
          </w:p>
        </w:tc>
        <w:tc>
          <w:tcPr>
            <w:tcW w:w="2388" w:type="dxa"/>
            <w:tcBorders>
              <w:top w:val="single" w:sz="8" w:space="0" w:color="AEAEAE"/>
              <w:left w:val="nil"/>
              <w:bottom w:val="single" w:sz="8" w:space="0" w:color="AEAEAE"/>
              <w:right w:val="nil"/>
            </w:tcBorders>
            <w:shd w:val="clear" w:color="auto" w:fill="E0E0E0"/>
            <w:hideMark/>
          </w:tcPr>
          <w:p w14:paraId="520C8E75"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31" w:type="dxa"/>
            <w:tcBorders>
              <w:top w:val="single" w:sz="8" w:space="0" w:color="AEAEAE"/>
              <w:left w:val="nil"/>
              <w:bottom w:val="single" w:sz="8" w:space="0" w:color="AEAEAE"/>
              <w:right w:val="single" w:sz="8" w:space="0" w:color="E0E0E0"/>
            </w:tcBorders>
            <w:shd w:val="clear" w:color="auto" w:fill="FFFFFF"/>
            <w:hideMark/>
          </w:tcPr>
          <w:p w14:paraId="46C2071B"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,624</w:t>
            </w:r>
            <w:r w:rsidRPr="00B23013">
              <w:rPr>
                <w:rFonts w:eastAsia="Calibri" w:cs="Times New Roman"/>
                <w:color w:val="000000"/>
                <w:sz w:val="18"/>
                <w:szCs w:val="18"/>
                <w:vertAlign w:val="superscript"/>
              </w:rPr>
              <w:t>**</w:t>
            </w:r>
          </w:p>
        </w:tc>
        <w:tc>
          <w:tcPr>
            <w:tcW w:w="1434" w:type="dxa"/>
            <w:tcBorders>
              <w:top w:val="single" w:sz="8" w:space="0" w:color="AEAEAE"/>
              <w:left w:val="single" w:sz="8" w:space="0" w:color="E0E0E0"/>
              <w:bottom w:val="single" w:sz="8" w:space="0" w:color="AEAEAE"/>
              <w:right w:val="nil"/>
            </w:tcBorders>
            <w:shd w:val="clear" w:color="auto" w:fill="FFFFFF"/>
            <w:hideMark/>
          </w:tcPr>
          <w:p w14:paraId="1C97602A"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r>
      <w:tr w:rsidR="0002329A" w:rsidRPr="00B23013" w14:paraId="5E6FC8A1" w14:textId="77777777" w:rsidTr="0002329A">
        <w:trPr>
          <w:cantSplit/>
          <w:trHeight w:val="283"/>
        </w:trPr>
        <w:tc>
          <w:tcPr>
            <w:tcW w:w="1791" w:type="dxa"/>
            <w:vMerge/>
            <w:tcBorders>
              <w:top w:val="single" w:sz="8" w:space="0" w:color="152935"/>
              <w:left w:val="nil"/>
              <w:bottom w:val="single" w:sz="8" w:space="0" w:color="152935"/>
              <w:right w:val="nil"/>
            </w:tcBorders>
            <w:vAlign w:val="center"/>
            <w:hideMark/>
          </w:tcPr>
          <w:p w14:paraId="1C3D8D44"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9" w:type="dxa"/>
            <w:vMerge/>
            <w:tcBorders>
              <w:top w:val="single" w:sz="8" w:space="0" w:color="AEAEAE"/>
              <w:left w:val="nil"/>
              <w:bottom w:val="single" w:sz="8" w:space="0" w:color="152935"/>
              <w:right w:val="nil"/>
            </w:tcBorders>
            <w:vAlign w:val="center"/>
            <w:hideMark/>
          </w:tcPr>
          <w:p w14:paraId="00613250"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8" w:type="dxa"/>
            <w:tcBorders>
              <w:top w:val="single" w:sz="8" w:space="0" w:color="AEAEAE"/>
              <w:left w:val="nil"/>
              <w:bottom w:val="single" w:sz="8" w:space="0" w:color="AEAEAE"/>
              <w:right w:val="nil"/>
            </w:tcBorders>
            <w:shd w:val="clear" w:color="auto" w:fill="E0E0E0"/>
            <w:hideMark/>
          </w:tcPr>
          <w:p w14:paraId="2BD3DAEA"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31" w:type="dxa"/>
            <w:tcBorders>
              <w:top w:val="single" w:sz="8" w:space="0" w:color="AEAEAE"/>
              <w:left w:val="nil"/>
              <w:bottom w:val="single" w:sz="8" w:space="0" w:color="AEAEAE"/>
              <w:right w:val="single" w:sz="8" w:space="0" w:color="E0E0E0"/>
            </w:tcBorders>
            <w:shd w:val="clear" w:color="auto" w:fill="FFFFFF"/>
            <w:hideMark/>
          </w:tcPr>
          <w:p w14:paraId="79821128"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c>
          <w:tcPr>
            <w:tcW w:w="1434" w:type="dxa"/>
            <w:tcBorders>
              <w:top w:val="single" w:sz="8" w:space="0" w:color="AEAEAE"/>
              <w:left w:val="single" w:sz="8" w:space="0" w:color="E0E0E0"/>
              <w:bottom w:val="single" w:sz="8" w:space="0" w:color="AEAEAE"/>
              <w:right w:val="nil"/>
            </w:tcBorders>
            <w:shd w:val="clear" w:color="auto" w:fill="FFFFFF"/>
            <w:hideMark/>
          </w:tcPr>
          <w:p w14:paraId="0DD92511"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r>
      <w:tr w:rsidR="0002329A" w:rsidRPr="00B23013" w14:paraId="410B7341" w14:textId="77777777" w:rsidTr="0002329A">
        <w:trPr>
          <w:cantSplit/>
          <w:trHeight w:val="283"/>
        </w:trPr>
        <w:tc>
          <w:tcPr>
            <w:tcW w:w="1791" w:type="dxa"/>
            <w:vMerge/>
            <w:tcBorders>
              <w:top w:val="single" w:sz="8" w:space="0" w:color="152935"/>
              <w:left w:val="nil"/>
              <w:bottom w:val="single" w:sz="8" w:space="0" w:color="152935"/>
              <w:right w:val="nil"/>
            </w:tcBorders>
            <w:vAlign w:val="center"/>
            <w:hideMark/>
          </w:tcPr>
          <w:p w14:paraId="01709EF6"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9" w:type="dxa"/>
            <w:vMerge/>
            <w:tcBorders>
              <w:top w:val="single" w:sz="8" w:space="0" w:color="AEAEAE"/>
              <w:left w:val="nil"/>
              <w:bottom w:val="single" w:sz="8" w:space="0" w:color="152935"/>
              <w:right w:val="nil"/>
            </w:tcBorders>
            <w:vAlign w:val="center"/>
            <w:hideMark/>
          </w:tcPr>
          <w:p w14:paraId="588EE802"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8" w:type="dxa"/>
            <w:tcBorders>
              <w:top w:val="single" w:sz="8" w:space="0" w:color="AEAEAE"/>
              <w:left w:val="nil"/>
              <w:bottom w:val="single" w:sz="8" w:space="0" w:color="152935"/>
              <w:right w:val="nil"/>
            </w:tcBorders>
            <w:shd w:val="clear" w:color="auto" w:fill="E0E0E0"/>
            <w:hideMark/>
          </w:tcPr>
          <w:p w14:paraId="7D6767BF"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31" w:type="dxa"/>
            <w:tcBorders>
              <w:top w:val="single" w:sz="8" w:space="0" w:color="AEAEAE"/>
              <w:left w:val="nil"/>
              <w:bottom w:val="single" w:sz="8" w:space="0" w:color="152935"/>
              <w:right w:val="single" w:sz="8" w:space="0" w:color="E0E0E0"/>
            </w:tcBorders>
            <w:shd w:val="clear" w:color="auto" w:fill="FFFFFF"/>
            <w:hideMark/>
          </w:tcPr>
          <w:p w14:paraId="0303F996"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34" w:type="dxa"/>
            <w:tcBorders>
              <w:top w:val="single" w:sz="8" w:space="0" w:color="AEAEAE"/>
              <w:left w:val="single" w:sz="8" w:space="0" w:color="E0E0E0"/>
              <w:bottom w:val="single" w:sz="8" w:space="0" w:color="152935"/>
              <w:right w:val="nil"/>
            </w:tcBorders>
            <w:shd w:val="clear" w:color="auto" w:fill="FFFFFF"/>
            <w:hideMark/>
          </w:tcPr>
          <w:p w14:paraId="4A8A91E2"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20173483" w14:textId="77777777" w:rsidTr="0002329A">
        <w:trPr>
          <w:cantSplit/>
          <w:trHeight w:val="266"/>
        </w:trPr>
        <w:tc>
          <w:tcPr>
            <w:tcW w:w="9105" w:type="dxa"/>
            <w:gridSpan w:val="5"/>
            <w:tcBorders>
              <w:top w:val="nil"/>
              <w:left w:val="nil"/>
              <w:bottom w:val="nil"/>
              <w:right w:val="nil"/>
            </w:tcBorders>
            <w:shd w:val="clear" w:color="auto" w:fill="FFFFFF"/>
            <w:hideMark/>
          </w:tcPr>
          <w:p w14:paraId="6F516186"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 La correlación es significativa en el nivel 0,01 (bilateral).</w:t>
            </w:r>
          </w:p>
        </w:tc>
      </w:tr>
    </w:tbl>
    <w:p w14:paraId="65666C0C"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La tabla de correlaciones muestra que concurre una correlación positiva e indicadora entre preparación docente y una menor deserción estudiantil en la carrera técnica de Contabilidad del Instituto Superior Tecnológico Público Argentina. El factor de reciprocidad de Spearman (rho) es 0.624, lo que muestra una correspondencia moderada entre las dos variables. Esta reciprocidad es indicadora al grado 0.01, con un importe p de 0.000, lo que sugiere que a medida que la preparación docente se percibe como más favorables, disminuye la probabilidad de deserción estudiantil. El tamaño de la muestra es de 100 alumnos, lo que proporciona una base sólida para estas conclusiones.</w:t>
      </w:r>
    </w:p>
    <w:p w14:paraId="254BFF6C" w14:textId="2641C336" w:rsidR="00B23013" w:rsidRPr="00B23013" w:rsidRDefault="00B23013" w:rsidP="00665243">
      <w:pPr>
        <w:widowControl w:val="0"/>
        <w:autoSpaceDE w:val="0"/>
        <w:autoSpaceDN w:val="0"/>
        <w:ind w:firstLine="0"/>
        <w:outlineLvl w:val="3"/>
        <w:rPr>
          <w:rFonts w:eastAsia="Arial MT" w:cs="Times New Roman"/>
          <w:b/>
          <w:bCs/>
          <w:i/>
          <w:iCs/>
          <w:color w:val="000000"/>
          <w:szCs w:val="24"/>
          <w:u w:val="single"/>
          <w:lang w:val="es-ES"/>
        </w:rPr>
      </w:pPr>
      <w:bookmarkStart w:id="20" w:name="_Toc168995846"/>
      <w:bookmarkStart w:id="21" w:name="_Toc183305641"/>
      <w:r w:rsidRPr="00B23013">
        <w:rPr>
          <w:rFonts w:eastAsia="Arial MT" w:cs="Times New Roman"/>
          <w:b/>
          <w:bCs/>
          <w:i/>
          <w:iCs/>
          <w:color w:val="000000"/>
          <w:szCs w:val="24"/>
          <w:u w:val="single"/>
          <w:lang w:val="es-ES"/>
        </w:rPr>
        <w:t>Resultados inferenciales hipótesis específica 2</w:t>
      </w:r>
      <w:bookmarkEnd w:id="20"/>
      <w:bookmarkEnd w:id="21"/>
    </w:p>
    <w:p w14:paraId="6F929DC2"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Hi: Los recursos y soporte académico se relacionan de forma positiva con una menor deserción estudiantil en la carrera técnica de contabilidad del Instituto Superior Tecnológico Público Argentina en el periodo 2021-2023.</w:t>
      </w:r>
    </w:p>
    <w:p w14:paraId="66BB1F46"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H0: Los recursos y soporte académico no se relacionan de forma positiva con una menor deserción estudiantil en la carrera técnica de contabilidad del Instituto Superior Tecnológico Público Argentina en el periodo 2021-2023.</w:t>
      </w:r>
    </w:p>
    <w:p w14:paraId="33ABADC0" w14:textId="0A934438" w:rsidR="00B23013" w:rsidRPr="00B23013" w:rsidRDefault="00B23013" w:rsidP="00665243">
      <w:pPr>
        <w:widowControl w:val="0"/>
        <w:autoSpaceDE w:val="0"/>
        <w:autoSpaceDN w:val="0"/>
        <w:ind w:firstLine="0"/>
        <w:rPr>
          <w:rFonts w:eastAsia="Arial MT" w:cs="Times New Roman"/>
          <w:b/>
          <w:bCs/>
          <w:color w:val="000000"/>
          <w:szCs w:val="24"/>
          <w:lang w:val="es-ES"/>
        </w:rPr>
      </w:pPr>
      <w:bookmarkStart w:id="22" w:name="_Toc169067453"/>
      <w:r w:rsidRPr="00B23013">
        <w:rPr>
          <w:rFonts w:eastAsia="Arial MT" w:cs="Times New Roman"/>
          <w:b/>
          <w:bCs/>
          <w:color w:val="000000"/>
          <w:szCs w:val="24"/>
          <w:lang w:val="es-ES"/>
        </w:rPr>
        <w:t xml:space="preserve">Tabla </w:t>
      </w:r>
      <w:r w:rsidR="00665243">
        <w:rPr>
          <w:rFonts w:eastAsia="Arial MT" w:cs="Times New Roman"/>
          <w:b/>
          <w:bCs/>
          <w:color w:val="000000"/>
          <w:szCs w:val="24"/>
          <w:lang w:val="es-ES"/>
        </w:rPr>
        <w:t>3</w:t>
      </w:r>
    </w:p>
    <w:p w14:paraId="5C35791D" w14:textId="77777777" w:rsidR="00B23013" w:rsidRPr="00B23013" w:rsidRDefault="00B23013" w:rsidP="00665243">
      <w:pPr>
        <w:widowControl w:val="0"/>
        <w:autoSpaceDE w:val="0"/>
        <w:autoSpaceDN w:val="0"/>
        <w:ind w:firstLine="0"/>
        <w:rPr>
          <w:rFonts w:eastAsia="Arial MT" w:cs="Times New Roman"/>
          <w:i/>
          <w:iCs/>
          <w:color w:val="000000"/>
          <w:szCs w:val="24"/>
          <w:lang w:val="es-ES"/>
        </w:rPr>
      </w:pPr>
      <w:r w:rsidRPr="00B23013">
        <w:rPr>
          <w:rFonts w:eastAsia="Arial MT" w:cs="Times New Roman"/>
          <w:i/>
          <w:iCs/>
          <w:color w:val="000000"/>
          <w:position w:val="1"/>
          <w:szCs w:val="24"/>
          <w:lang w:val="es-ES"/>
        </w:rPr>
        <w:t xml:space="preserve">Correlación entre </w:t>
      </w:r>
      <w:r w:rsidRPr="00B23013">
        <w:rPr>
          <w:rFonts w:eastAsia="Arial MT" w:cs="Times New Roman"/>
          <w:i/>
          <w:iCs/>
          <w:color w:val="000000"/>
          <w:szCs w:val="24"/>
          <w:lang w:val="es-ES"/>
        </w:rPr>
        <w:t>recursos y soporte académico y deserción estudiantil</w:t>
      </w:r>
      <w:bookmarkEnd w:id="22"/>
    </w:p>
    <w:tbl>
      <w:tblPr>
        <w:tblW w:w="9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7"/>
        <w:gridCol w:w="2055"/>
        <w:gridCol w:w="2385"/>
        <w:gridCol w:w="1428"/>
        <w:gridCol w:w="1431"/>
      </w:tblGrid>
      <w:tr w:rsidR="00B23013" w:rsidRPr="00B23013" w14:paraId="2046668F" w14:textId="77777777" w:rsidTr="0002329A">
        <w:trPr>
          <w:cantSplit/>
          <w:trHeight w:val="641"/>
        </w:trPr>
        <w:tc>
          <w:tcPr>
            <w:tcW w:w="6227" w:type="dxa"/>
            <w:gridSpan w:val="3"/>
            <w:tcBorders>
              <w:top w:val="single" w:sz="4" w:space="0" w:color="auto"/>
              <w:left w:val="nil"/>
              <w:bottom w:val="single" w:sz="8" w:space="0" w:color="152935"/>
              <w:right w:val="nil"/>
            </w:tcBorders>
            <w:shd w:val="clear" w:color="auto" w:fill="FFFFFF"/>
            <w:vAlign w:val="bottom"/>
          </w:tcPr>
          <w:p w14:paraId="0A7429A0" w14:textId="77777777" w:rsidR="00B23013" w:rsidRPr="00B23013" w:rsidRDefault="00B23013" w:rsidP="0002329A">
            <w:pPr>
              <w:autoSpaceDE w:val="0"/>
              <w:autoSpaceDN w:val="0"/>
              <w:adjustRightInd w:val="0"/>
              <w:spacing w:line="240" w:lineRule="auto"/>
              <w:ind w:firstLine="0"/>
              <w:rPr>
                <w:rFonts w:eastAsia="Calibri" w:cs="Times New Roman"/>
                <w:color w:val="000000"/>
                <w:szCs w:val="24"/>
              </w:rPr>
            </w:pPr>
          </w:p>
        </w:tc>
        <w:tc>
          <w:tcPr>
            <w:tcW w:w="1428" w:type="dxa"/>
            <w:tcBorders>
              <w:top w:val="single" w:sz="4" w:space="0" w:color="auto"/>
              <w:left w:val="nil"/>
              <w:bottom w:val="single" w:sz="8" w:space="0" w:color="152935"/>
              <w:right w:val="single" w:sz="8" w:space="0" w:color="E0E0E0"/>
            </w:tcBorders>
            <w:shd w:val="clear" w:color="auto" w:fill="FFFFFF"/>
            <w:vAlign w:val="bottom"/>
            <w:hideMark/>
          </w:tcPr>
          <w:p w14:paraId="256D9BAB"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Recursos y soporte académico</w:t>
            </w:r>
          </w:p>
        </w:tc>
        <w:tc>
          <w:tcPr>
            <w:tcW w:w="1429" w:type="dxa"/>
            <w:tcBorders>
              <w:top w:val="single" w:sz="4" w:space="0" w:color="auto"/>
              <w:left w:val="single" w:sz="8" w:space="0" w:color="E0E0E0"/>
              <w:bottom w:val="single" w:sz="8" w:space="0" w:color="152935"/>
              <w:right w:val="nil"/>
            </w:tcBorders>
            <w:shd w:val="clear" w:color="auto" w:fill="FFFFFF"/>
            <w:vAlign w:val="bottom"/>
            <w:hideMark/>
          </w:tcPr>
          <w:p w14:paraId="78F9BFF7"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Deserción estudiantil</w:t>
            </w:r>
          </w:p>
        </w:tc>
      </w:tr>
      <w:tr w:rsidR="0002329A" w:rsidRPr="00B23013" w14:paraId="0C2B7485" w14:textId="77777777" w:rsidTr="0002329A">
        <w:trPr>
          <w:cantSplit/>
          <w:trHeight w:val="320"/>
        </w:trPr>
        <w:tc>
          <w:tcPr>
            <w:tcW w:w="1787" w:type="dxa"/>
            <w:vMerge w:val="restart"/>
            <w:tcBorders>
              <w:top w:val="single" w:sz="8" w:space="0" w:color="152935"/>
              <w:left w:val="nil"/>
              <w:bottom w:val="single" w:sz="8" w:space="0" w:color="152935"/>
              <w:right w:val="nil"/>
            </w:tcBorders>
            <w:shd w:val="clear" w:color="auto" w:fill="E0E0E0"/>
            <w:hideMark/>
          </w:tcPr>
          <w:p w14:paraId="47D9514B"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Rho de Spearman</w:t>
            </w:r>
          </w:p>
        </w:tc>
        <w:tc>
          <w:tcPr>
            <w:tcW w:w="2055" w:type="dxa"/>
            <w:vMerge w:val="restart"/>
            <w:tcBorders>
              <w:top w:val="single" w:sz="8" w:space="0" w:color="152935"/>
              <w:left w:val="nil"/>
              <w:bottom w:val="nil"/>
              <w:right w:val="nil"/>
            </w:tcBorders>
            <w:shd w:val="clear" w:color="auto" w:fill="E0E0E0"/>
            <w:hideMark/>
          </w:tcPr>
          <w:p w14:paraId="77107FD0"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Factores académicos</w:t>
            </w:r>
          </w:p>
        </w:tc>
        <w:tc>
          <w:tcPr>
            <w:tcW w:w="2383" w:type="dxa"/>
            <w:tcBorders>
              <w:top w:val="single" w:sz="8" w:space="0" w:color="152935"/>
              <w:left w:val="nil"/>
              <w:bottom w:val="single" w:sz="8" w:space="0" w:color="AEAEAE"/>
              <w:right w:val="nil"/>
            </w:tcBorders>
            <w:shd w:val="clear" w:color="auto" w:fill="E0E0E0"/>
            <w:hideMark/>
          </w:tcPr>
          <w:p w14:paraId="4F043909"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8" w:type="dxa"/>
            <w:tcBorders>
              <w:top w:val="single" w:sz="8" w:space="0" w:color="152935"/>
              <w:left w:val="nil"/>
              <w:bottom w:val="single" w:sz="8" w:space="0" w:color="AEAEAE"/>
              <w:right w:val="single" w:sz="8" w:space="0" w:color="E0E0E0"/>
            </w:tcBorders>
            <w:shd w:val="clear" w:color="auto" w:fill="FFFFFF"/>
            <w:hideMark/>
          </w:tcPr>
          <w:p w14:paraId="700CEC74"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c>
          <w:tcPr>
            <w:tcW w:w="1429" w:type="dxa"/>
            <w:tcBorders>
              <w:top w:val="single" w:sz="8" w:space="0" w:color="152935"/>
              <w:left w:val="single" w:sz="8" w:space="0" w:color="E0E0E0"/>
              <w:bottom w:val="single" w:sz="8" w:space="0" w:color="AEAEAE"/>
              <w:right w:val="nil"/>
            </w:tcBorders>
            <w:shd w:val="clear" w:color="auto" w:fill="FFFFFF"/>
            <w:hideMark/>
          </w:tcPr>
          <w:p w14:paraId="3AD80458"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,589</w:t>
            </w:r>
            <w:r w:rsidRPr="00B23013">
              <w:rPr>
                <w:rFonts w:eastAsia="Calibri" w:cs="Times New Roman"/>
                <w:color w:val="000000"/>
                <w:sz w:val="18"/>
                <w:szCs w:val="18"/>
                <w:vertAlign w:val="superscript"/>
              </w:rPr>
              <w:t>**</w:t>
            </w:r>
          </w:p>
        </w:tc>
      </w:tr>
      <w:tr w:rsidR="00B23013" w:rsidRPr="00B23013" w14:paraId="565B2866" w14:textId="77777777" w:rsidTr="0002329A">
        <w:trPr>
          <w:cantSplit/>
          <w:trHeight w:val="340"/>
        </w:trPr>
        <w:tc>
          <w:tcPr>
            <w:tcW w:w="1787" w:type="dxa"/>
            <w:vMerge/>
            <w:tcBorders>
              <w:top w:val="single" w:sz="8" w:space="0" w:color="152935"/>
              <w:left w:val="nil"/>
              <w:bottom w:val="single" w:sz="8" w:space="0" w:color="152935"/>
              <w:right w:val="nil"/>
            </w:tcBorders>
            <w:vAlign w:val="center"/>
            <w:hideMark/>
          </w:tcPr>
          <w:p w14:paraId="7A21CFE7"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5" w:type="dxa"/>
            <w:vMerge/>
            <w:tcBorders>
              <w:top w:val="single" w:sz="8" w:space="0" w:color="152935"/>
              <w:left w:val="nil"/>
              <w:bottom w:val="nil"/>
              <w:right w:val="nil"/>
            </w:tcBorders>
            <w:vAlign w:val="center"/>
            <w:hideMark/>
          </w:tcPr>
          <w:p w14:paraId="7E31DCF5"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3" w:type="dxa"/>
            <w:tcBorders>
              <w:top w:val="single" w:sz="8" w:space="0" w:color="AEAEAE"/>
              <w:left w:val="nil"/>
              <w:bottom w:val="single" w:sz="8" w:space="0" w:color="AEAEAE"/>
              <w:right w:val="nil"/>
            </w:tcBorders>
            <w:shd w:val="clear" w:color="auto" w:fill="E0E0E0"/>
            <w:hideMark/>
          </w:tcPr>
          <w:p w14:paraId="59F68F93"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8" w:type="dxa"/>
            <w:tcBorders>
              <w:top w:val="single" w:sz="8" w:space="0" w:color="AEAEAE"/>
              <w:left w:val="nil"/>
              <w:bottom w:val="single" w:sz="8" w:space="0" w:color="AEAEAE"/>
              <w:right w:val="single" w:sz="8" w:space="0" w:color="E0E0E0"/>
            </w:tcBorders>
            <w:shd w:val="clear" w:color="auto" w:fill="FFFFFF"/>
            <w:hideMark/>
          </w:tcPr>
          <w:p w14:paraId="62EEDBE2"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c>
          <w:tcPr>
            <w:tcW w:w="1429" w:type="dxa"/>
            <w:tcBorders>
              <w:top w:val="single" w:sz="8" w:space="0" w:color="AEAEAE"/>
              <w:left w:val="single" w:sz="8" w:space="0" w:color="E0E0E0"/>
              <w:bottom w:val="single" w:sz="8" w:space="0" w:color="AEAEAE"/>
              <w:right w:val="nil"/>
            </w:tcBorders>
            <w:shd w:val="clear" w:color="auto" w:fill="FFFFFF"/>
            <w:hideMark/>
          </w:tcPr>
          <w:p w14:paraId="00765302"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r>
      <w:tr w:rsidR="00B23013" w:rsidRPr="00B23013" w14:paraId="5E75D2AF" w14:textId="77777777" w:rsidTr="0002329A">
        <w:trPr>
          <w:cantSplit/>
          <w:trHeight w:val="340"/>
        </w:trPr>
        <w:tc>
          <w:tcPr>
            <w:tcW w:w="1787" w:type="dxa"/>
            <w:vMerge/>
            <w:tcBorders>
              <w:top w:val="single" w:sz="8" w:space="0" w:color="152935"/>
              <w:left w:val="nil"/>
              <w:bottom w:val="single" w:sz="8" w:space="0" w:color="152935"/>
              <w:right w:val="nil"/>
            </w:tcBorders>
            <w:vAlign w:val="center"/>
            <w:hideMark/>
          </w:tcPr>
          <w:p w14:paraId="0229C580"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5" w:type="dxa"/>
            <w:vMerge/>
            <w:tcBorders>
              <w:top w:val="single" w:sz="8" w:space="0" w:color="152935"/>
              <w:left w:val="nil"/>
              <w:bottom w:val="nil"/>
              <w:right w:val="nil"/>
            </w:tcBorders>
            <w:vAlign w:val="center"/>
            <w:hideMark/>
          </w:tcPr>
          <w:p w14:paraId="178A626B"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3" w:type="dxa"/>
            <w:tcBorders>
              <w:top w:val="single" w:sz="8" w:space="0" w:color="AEAEAE"/>
              <w:left w:val="nil"/>
              <w:bottom w:val="nil"/>
              <w:right w:val="nil"/>
            </w:tcBorders>
            <w:shd w:val="clear" w:color="auto" w:fill="E0E0E0"/>
            <w:hideMark/>
          </w:tcPr>
          <w:p w14:paraId="32EE6F14"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8" w:type="dxa"/>
            <w:tcBorders>
              <w:top w:val="single" w:sz="8" w:space="0" w:color="AEAEAE"/>
              <w:left w:val="nil"/>
              <w:bottom w:val="nil"/>
              <w:right w:val="single" w:sz="8" w:space="0" w:color="E0E0E0"/>
            </w:tcBorders>
            <w:shd w:val="clear" w:color="auto" w:fill="FFFFFF"/>
            <w:hideMark/>
          </w:tcPr>
          <w:p w14:paraId="00281255"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9" w:type="dxa"/>
            <w:tcBorders>
              <w:top w:val="single" w:sz="8" w:space="0" w:color="AEAEAE"/>
              <w:left w:val="single" w:sz="8" w:space="0" w:color="E0E0E0"/>
              <w:bottom w:val="nil"/>
              <w:right w:val="nil"/>
            </w:tcBorders>
            <w:shd w:val="clear" w:color="auto" w:fill="FFFFFF"/>
            <w:hideMark/>
          </w:tcPr>
          <w:p w14:paraId="1C5405F9"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16C5ACFE" w14:textId="77777777" w:rsidTr="0002329A">
        <w:trPr>
          <w:cantSplit/>
          <w:trHeight w:val="361"/>
        </w:trPr>
        <w:tc>
          <w:tcPr>
            <w:tcW w:w="1787" w:type="dxa"/>
            <w:vMerge/>
            <w:tcBorders>
              <w:top w:val="single" w:sz="8" w:space="0" w:color="152935"/>
              <w:left w:val="nil"/>
              <w:bottom w:val="single" w:sz="8" w:space="0" w:color="152935"/>
              <w:right w:val="nil"/>
            </w:tcBorders>
            <w:vAlign w:val="center"/>
            <w:hideMark/>
          </w:tcPr>
          <w:p w14:paraId="692078C3"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5" w:type="dxa"/>
            <w:vMerge w:val="restart"/>
            <w:tcBorders>
              <w:top w:val="single" w:sz="8" w:space="0" w:color="AEAEAE"/>
              <w:left w:val="nil"/>
              <w:bottom w:val="single" w:sz="8" w:space="0" w:color="152935"/>
              <w:right w:val="nil"/>
            </w:tcBorders>
            <w:shd w:val="clear" w:color="auto" w:fill="E0E0E0"/>
            <w:hideMark/>
          </w:tcPr>
          <w:p w14:paraId="1DC5ADFA"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Recursos y soporte académico</w:t>
            </w:r>
          </w:p>
        </w:tc>
        <w:tc>
          <w:tcPr>
            <w:tcW w:w="2383" w:type="dxa"/>
            <w:tcBorders>
              <w:top w:val="single" w:sz="8" w:space="0" w:color="AEAEAE"/>
              <w:left w:val="nil"/>
              <w:bottom w:val="single" w:sz="8" w:space="0" w:color="AEAEAE"/>
              <w:right w:val="nil"/>
            </w:tcBorders>
            <w:shd w:val="clear" w:color="auto" w:fill="E0E0E0"/>
            <w:hideMark/>
          </w:tcPr>
          <w:p w14:paraId="43B02131"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8" w:type="dxa"/>
            <w:tcBorders>
              <w:top w:val="single" w:sz="8" w:space="0" w:color="AEAEAE"/>
              <w:left w:val="nil"/>
              <w:bottom w:val="single" w:sz="8" w:space="0" w:color="AEAEAE"/>
              <w:right w:val="single" w:sz="8" w:space="0" w:color="E0E0E0"/>
            </w:tcBorders>
            <w:shd w:val="clear" w:color="auto" w:fill="FFFFFF"/>
            <w:hideMark/>
          </w:tcPr>
          <w:p w14:paraId="56F638AE"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,589</w:t>
            </w:r>
            <w:r w:rsidRPr="00B23013">
              <w:rPr>
                <w:rFonts w:eastAsia="Calibri" w:cs="Times New Roman"/>
                <w:color w:val="000000"/>
                <w:sz w:val="18"/>
                <w:szCs w:val="18"/>
                <w:vertAlign w:val="superscript"/>
              </w:rPr>
              <w:t>**</w:t>
            </w:r>
          </w:p>
        </w:tc>
        <w:tc>
          <w:tcPr>
            <w:tcW w:w="1429" w:type="dxa"/>
            <w:tcBorders>
              <w:top w:val="single" w:sz="8" w:space="0" w:color="AEAEAE"/>
              <w:left w:val="single" w:sz="8" w:space="0" w:color="E0E0E0"/>
              <w:bottom w:val="single" w:sz="8" w:space="0" w:color="AEAEAE"/>
              <w:right w:val="nil"/>
            </w:tcBorders>
            <w:shd w:val="clear" w:color="auto" w:fill="FFFFFF"/>
            <w:hideMark/>
          </w:tcPr>
          <w:p w14:paraId="3EE949EC"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r>
      <w:tr w:rsidR="00B23013" w:rsidRPr="00B23013" w14:paraId="29DCC27A" w14:textId="77777777" w:rsidTr="0002329A">
        <w:trPr>
          <w:cantSplit/>
          <w:trHeight w:val="340"/>
        </w:trPr>
        <w:tc>
          <w:tcPr>
            <w:tcW w:w="1787" w:type="dxa"/>
            <w:vMerge/>
            <w:tcBorders>
              <w:top w:val="single" w:sz="8" w:space="0" w:color="152935"/>
              <w:left w:val="nil"/>
              <w:bottom w:val="single" w:sz="8" w:space="0" w:color="152935"/>
              <w:right w:val="nil"/>
            </w:tcBorders>
            <w:vAlign w:val="center"/>
            <w:hideMark/>
          </w:tcPr>
          <w:p w14:paraId="388A3FFA"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5" w:type="dxa"/>
            <w:vMerge/>
            <w:tcBorders>
              <w:top w:val="single" w:sz="8" w:space="0" w:color="AEAEAE"/>
              <w:left w:val="nil"/>
              <w:bottom w:val="single" w:sz="8" w:space="0" w:color="152935"/>
              <w:right w:val="nil"/>
            </w:tcBorders>
            <w:vAlign w:val="center"/>
            <w:hideMark/>
          </w:tcPr>
          <w:p w14:paraId="2AC51A09"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3" w:type="dxa"/>
            <w:tcBorders>
              <w:top w:val="single" w:sz="8" w:space="0" w:color="AEAEAE"/>
              <w:left w:val="nil"/>
              <w:bottom w:val="single" w:sz="8" w:space="0" w:color="AEAEAE"/>
              <w:right w:val="nil"/>
            </w:tcBorders>
            <w:shd w:val="clear" w:color="auto" w:fill="E0E0E0"/>
            <w:hideMark/>
          </w:tcPr>
          <w:p w14:paraId="6684984B"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8" w:type="dxa"/>
            <w:tcBorders>
              <w:top w:val="single" w:sz="8" w:space="0" w:color="AEAEAE"/>
              <w:left w:val="nil"/>
              <w:bottom w:val="single" w:sz="8" w:space="0" w:color="AEAEAE"/>
              <w:right w:val="single" w:sz="8" w:space="0" w:color="E0E0E0"/>
            </w:tcBorders>
            <w:shd w:val="clear" w:color="auto" w:fill="FFFFFF"/>
            <w:hideMark/>
          </w:tcPr>
          <w:p w14:paraId="07D36AF6"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c>
          <w:tcPr>
            <w:tcW w:w="1429" w:type="dxa"/>
            <w:tcBorders>
              <w:top w:val="single" w:sz="8" w:space="0" w:color="AEAEAE"/>
              <w:left w:val="single" w:sz="8" w:space="0" w:color="E0E0E0"/>
              <w:bottom w:val="single" w:sz="8" w:space="0" w:color="AEAEAE"/>
              <w:right w:val="nil"/>
            </w:tcBorders>
            <w:shd w:val="clear" w:color="auto" w:fill="FFFFFF"/>
            <w:hideMark/>
          </w:tcPr>
          <w:p w14:paraId="54BB208E"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r>
      <w:tr w:rsidR="00B23013" w:rsidRPr="00B23013" w14:paraId="344DFE0E" w14:textId="77777777" w:rsidTr="0002329A">
        <w:trPr>
          <w:cantSplit/>
          <w:trHeight w:val="340"/>
        </w:trPr>
        <w:tc>
          <w:tcPr>
            <w:tcW w:w="1787" w:type="dxa"/>
            <w:vMerge/>
            <w:tcBorders>
              <w:top w:val="single" w:sz="8" w:space="0" w:color="152935"/>
              <w:left w:val="nil"/>
              <w:bottom w:val="single" w:sz="8" w:space="0" w:color="152935"/>
              <w:right w:val="nil"/>
            </w:tcBorders>
            <w:vAlign w:val="center"/>
            <w:hideMark/>
          </w:tcPr>
          <w:p w14:paraId="151D8276"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55" w:type="dxa"/>
            <w:vMerge/>
            <w:tcBorders>
              <w:top w:val="single" w:sz="8" w:space="0" w:color="AEAEAE"/>
              <w:left w:val="nil"/>
              <w:bottom w:val="single" w:sz="8" w:space="0" w:color="152935"/>
              <w:right w:val="nil"/>
            </w:tcBorders>
            <w:vAlign w:val="center"/>
            <w:hideMark/>
          </w:tcPr>
          <w:p w14:paraId="2822AEED"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83" w:type="dxa"/>
            <w:tcBorders>
              <w:top w:val="single" w:sz="8" w:space="0" w:color="AEAEAE"/>
              <w:left w:val="nil"/>
              <w:bottom w:val="single" w:sz="8" w:space="0" w:color="152935"/>
              <w:right w:val="nil"/>
            </w:tcBorders>
            <w:shd w:val="clear" w:color="auto" w:fill="E0E0E0"/>
            <w:hideMark/>
          </w:tcPr>
          <w:p w14:paraId="559D8D91"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8" w:type="dxa"/>
            <w:tcBorders>
              <w:top w:val="single" w:sz="8" w:space="0" w:color="AEAEAE"/>
              <w:left w:val="nil"/>
              <w:bottom w:val="single" w:sz="8" w:space="0" w:color="152935"/>
              <w:right w:val="single" w:sz="8" w:space="0" w:color="E0E0E0"/>
            </w:tcBorders>
            <w:shd w:val="clear" w:color="auto" w:fill="FFFFFF"/>
            <w:hideMark/>
          </w:tcPr>
          <w:p w14:paraId="184CDADB"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9" w:type="dxa"/>
            <w:tcBorders>
              <w:top w:val="single" w:sz="8" w:space="0" w:color="AEAEAE"/>
              <w:left w:val="single" w:sz="8" w:space="0" w:color="E0E0E0"/>
              <w:bottom w:val="single" w:sz="8" w:space="0" w:color="152935"/>
              <w:right w:val="nil"/>
            </w:tcBorders>
            <w:shd w:val="clear" w:color="auto" w:fill="FFFFFF"/>
            <w:hideMark/>
          </w:tcPr>
          <w:p w14:paraId="5774BB9B"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4C0DF325" w14:textId="77777777" w:rsidTr="0002329A">
        <w:trPr>
          <w:cantSplit/>
          <w:trHeight w:val="320"/>
        </w:trPr>
        <w:tc>
          <w:tcPr>
            <w:tcW w:w="9086" w:type="dxa"/>
            <w:gridSpan w:val="5"/>
            <w:tcBorders>
              <w:top w:val="nil"/>
              <w:left w:val="nil"/>
              <w:bottom w:val="nil"/>
              <w:right w:val="nil"/>
            </w:tcBorders>
            <w:shd w:val="clear" w:color="auto" w:fill="FFFFFF"/>
            <w:hideMark/>
          </w:tcPr>
          <w:p w14:paraId="2F182346"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 La correlación es significativa en el nivel 0,01 (bilateral).</w:t>
            </w:r>
          </w:p>
        </w:tc>
      </w:tr>
    </w:tbl>
    <w:p w14:paraId="7C4FF5A0"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lastRenderedPageBreak/>
        <w:t>La tabla de correlaciones muestra que concurre una reciprocidad positiva y significativa entre recursos y soporte académico y una menor deserción estudiantil en la carrera técnica de Contabilidad del Instituto Superior Tecnológico Público Argentina. El factor de reciprocidad de Spearman (rho) es 0.589, lo que revela una correspondencia moderada entre las dos variables. Esta reciprocidad es indicadora al grado 0.01, con un importe p de 0.000, lo que sugiere que a medida que los recursos y soporte académico se perciben como más favorables, disminuye la probabilidad de deserción estudiantil. El volumen de la muestra es de 100 alumnos, lo que proporciona una base sólida para estas conclusiones.</w:t>
      </w:r>
    </w:p>
    <w:p w14:paraId="228F018C" w14:textId="77777777" w:rsidR="00B23013" w:rsidRPr="00B23013" w:rsidRDefault="00B23013" w:rsidP="00665243">
      <w:pPr>
        <w:widowControl w:val="0"/>
        <w:autoSpaceDE w:val="0"/>
        <w:autoSpaceDN w:val="0"/>
        <w:rPr>
          <w:rFonts w:eastAsia="Arial MT" w:cs="Times New Roman"/>
          <w:i/>
          <w:iCs/>
          <w:color w:val="000000"/>
          <w:szCs w:val="24"/>
          <w:u w:val="single"/>
          <w:lang w:val="es-ES"/>
        </w:rPr>
      </w:pPr>
    </w:p>
    <w:p w14:paraId="633B2C9A" w14:textId="1CF13A8A" w:rsidR="00B23013" w:rsidRPr="00B23013" w:rsidRDefault="00B23013" w:rsidP="00665243">
      <w:pPr>
        <w:widowControl w:val="0"/>
        <w:autoSpaceDE w:val="0"/>
        <w:autoSpaceDN w:val="0"/>
        <w:ind w:firstLine="0"/>
        <w:outlineLvl w:val="3"/>
        <w:rPr>
          <w:rFonts w:eastAsia="Arial MT" w:cs="Times New Roman"/>
          <w:b/>
          <w:bCs/>
          <w:i/>
          <w:iCs/>
          <w:color w:val="000000"/>
          <w:szCs w:val="24"/>
          <w:u w:val="single"/>
          <w:lang w:val="es-ES"/>
        </w:rPr>
      </w:pPr>
      <w:bookmarkStart w:id="23" w:name="_Toc168995847"/>
      <w:bookmarkStart w:id="24" w:name="_Toc183305642"/>
      <w:r w:rsidRPr="00B23013">
        <w:rPr>
          <w:rFonts w:eastAsia="Arial MT" w:cs="Times New Roman"/>
          <w:b/>
          <w:bCs/>
          <w:i/>
          <w:iCs/>
          <w:color w:val="000000"/>
          <w:szCs w:val="24"/>
          <w:u w:val="single"/>
          <w:lang w:val="es-ES"/>
        </w:rPr>
        <w:t>Resultados inferenciales hipótesis específica 3</w:t>
      </w:r>
      <w:bookmarkEnd w:id="23"/>
      <w:bookmarkEnd w:id="24"/>
    </w:p>
    <w:p w14:paraId="702AFA7E"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Hi: La evaluación y retroalimentación se relaciona de forma positiva con una menor deserción estudiantil en la carrera técnica de contabilidad del Instituto Superior Tecnológico Público Argentina en el periodo 2021-2023.</w:t>
      </w:r>
    </w:p>
    <w:p w14:paraId="3BD898DA"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H0: La evaluación y retroalimentación no se relacionan de forma positiva con una menor deserción estudiantil en la carrera técnica de contabilidad del Instituto Superior Tecnológico Público Argentina en el periodo 2021-2023.</w:t>
      </w:r>
    </w:p>
    <w:p w14:paraId="7F6CBE61" w14:textId="77777777" w:rsidR="00B23013" w:rsidRPr="00B23013" w:rsidRDefault="00B23013" w:rsidP="00665243">
      <w:pPr>
        <w:widowControl w:val="0"/>
        <w:autoSpaceDE w:val="0"/>
        <w:autoSpaceDN w:val="0"/>
        <w:rPr>
          <w:rFonts w:eastAsia="Arial MT" w:cs="Times New Roman"/>
          <w:color w:val="000000"/>
          <w:szCs w:val="24"/>
          <w:lang w:val="es-ES"/>
        </w:rPr>
      </w:pPr>
    </w:p>
    <w:p w14:paraId="09D0919E" w14:textId="24F46D29" w:rsidR="00B23013" w:rsidRPr="00B23013" w:rsidRDefault="00B23013" w:rsidP="00665243">
      <w:pPr>
        <w:widowControl w:val="0"/>
        <w:autoSpaceDE w:val="0"/>
        <w:autoSpaceDN w:val="0"/>
        <w:ind w:firstLine="0"/>
        <w:rPr>
          <w:rFonts w:eastAsia="Arial MT" w:cs="Times New Roman"/>
          <w:b/>
          <w:bCs/>
          <w:color w:val="000000"/>
          <w:szCs w:val="24"/>
          <w:lang w:val="es-ES"/>
        </w:rPr>
      </w:pPr>
      <w:bookmarkStart w:id="25" w:name="_Toc169067454"/>
      <w:r w:rsidRPr="00B23013">
        <w:rPr>
          <w:rFonts w:eastAsia="Arial MT" w:cs="Times New Roman"/>
          <w:b/>
          <w:bCs/>
          <w:color w:val="000000"/>
          <w:szCs w:val="24"/>
          <w:lang w:val="es-ES"/>
        </w:rPr>
        <w:t xml:space="preserve">Tabla </w:t>
      </w:r>
      <w:r w:rsidR="00665243">
        <w:rPr>
          <w:rFonts w:eastAsia="Arial MT" w:cs="Times New Roman"/>
          <w:b/>
          <w:bCs/>
          <w:color w:val="000000"/>
          <w:szCs w:val="24"/>
          <w:lang w:val="es-ES"/>
        </w:rPr>
        <w:t>4</w:t>
      </w:r>
    </w:p>
    <w:p w14:paraId="216F0FF9" w14:textId="77777777" w:rsidR="00B23013" w:rsidRPr="00B23013" w:rsidRDefault="00B23013" w:rsidP="00665243">
      <w:pPr>
        <w:widowControl w:val="0"/>
        <w:autoSpaceDE w:val="0"/>
        <w:autoSpaceDN w:val="0"/>
        <w:ind w:firstLine="0"/>
        <w:rPr>
          <w:rFonts w:eastAsia="Arial MT" w:cs="Times New Roman"/>
          <w:i/>
          <w:iCs/>
          <w:color w:val="000000"/>
          <w:szCs w:val="24"/>
          <w:lang w:val="es-ES"/>
        </w:rPr>
      </w:pPr>
      <w:r w:rsidRPr="00B23013">
        <w:rPr>
          <w:rFonts w:eastAsia="Arial MT" w:cs="Times New Roman"/>
          <w:color w:val="000000"/>
          <w:szCs w:val="24"/>
          <w:lang w:val="es-ES"/>
        </w:rPr>
        <w:t xml:space="preserve"> </w:t>
      </w:r>
      <w:r w:rsidRPr="00B23013">
        <w:rPr>
          <w:rFonts w:eastAsia="Arial MT" w:cs="Times New Roman"/>
          <w:i/>
          <w:iCs/>
          <w:color w:val="000000"/>
          <w:position w:val="1"/>
          <w:szCs w:val="24"/>
          <w:lang w:val="es-ES"/>
        </w:rPr>
        <w:t xml:space="preserve">Correlación entre </w:t>
      </w:r>
      <w:r w:rsidRPr="00B23013">
        <w:rPr>
          <w:rFonts w:eastAsia="Arial MT" w:cs="Times New Roman"/>
          <w:i/>
          <w:iCs/>
          <w:color w:val="000000"/>
          <w:szCs w:val="24"/>
          <w:lang w:val="es-ES"/>
        </w:rPr>
        <w:t>evaluación y retroalimentación y deserción estudiantil</w:t>
      </w:r>
      <w:bookmarkEnd w:id="25"/>
    </w:p>
    <w:tbl>
      <w:tblPr>
        <w:tblW w:w="9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8"/>
        <w:gridCol w:w="2055"/>
        <w:gridCol w:w="2384"/>
        <w:gridCol w:w="1429"/>
        <w:gridCol w:w="1430"/>
      </w:tblGrid>
      <w:tr w:rsidR="00B23013" w:rsidRPr="00B23013" w14:paraId="002B50E9" w14:textId="77777777" w:rsidTr="0002329A">
        <w:trPr>
          <w:cantSplit/>
          <w:trHeight w:val="669"/>
        </w:trPr>
        <w:tc>
          <w:tcPr>
            <w:tcW w:w="6227" w:type="dxa"/>
            <w:gridSpan w:val="3"/>
            <w:tcBorders>
              <w:top w:val="single" w:sz="4" w:space="0" w:color="auto"/>
              <w:left w:val="nil"/>
              <w:bottom w:val="single" w:sz="8" w:space="0" w:color="152935"/>
              <w:right w:val="nil"/>
            </w:tcBorders>
            <w:shd w:val="clear" w:color="auto" w:fill="FFFFFF"/>
            <w:vAlign w:val="bottom"/>
          </w:tcPr>
          <w:p w14:paraId="3CC4986D" w14:textId="77777777" w:rsidR="00B23013" w:rsidRPr="00B23013" w:rsidRDefault="00B23013" w:rsidP="00665243">
            <w:pPr>
              <w:autoSpaceDE w:val="0"/>
              <w:autoSpaceDN w:val="0"/>
              <w:adjustRightInd w:val="0"/>
              <w:ind w:firstLine="0"/>
              <w:rPr>
                <w:rFonts w:eastAsia="Calibri" w:cs="Times New Roman"/>
                <w:color w:val="000000"/>
                <w:szCs w:val="24"/>
              </w:rPr>
            </w:pPr>
          </w:p>
        </w:tc>
        <w:tc>
          <w:tcPr>
            <w:tcW w:w="1429" w:type="dxa"/>
            <w:tcBorders>
              <w:top w:val="single" w:sz="4" w:space="0" w:color="auto"/>
              <w:left w:val="nil"/>
              <w:bottom w:val="single" w:sz="8" w:space="0" w:color="152935"/>
              <w:right w:val="single" w:sz="8" w:space="0" w:color="E0E0E0"/>
            </w:tcBorders>
            <w:shd w:val="clear" w:color="auto" w:fill="FFFFFF"/>
            <w:vAlign w:val="bottom"/>
            <w:hideMark/>
          </w:tcPr>
          <w:p w14:paraId="5D1866B0" w14:textId="77777777" w:rsidR="00B23013" w:rsidRPr="00B23013" w:rsidRDefault="00B23013" w:rsidP="00665243">
            <w:pPr>
              <w:autoSpaceDE w:val="0"/>
              <w:autoSpaceDN w:val="0"/>
              <w:adjustRightInd w:val="0"/>
              <w:ind w:left="60" w:right="60" w:firstLine="0"/>
              <w:jc w:val="center"/>
              <w:rPr>
                <w:rFonts w:eastAsia="Calibri" w:cs="Times New Roman"/>
                <w:color w:val="000000"/>
                <w:sz w:val="18"/>
                <w:szCs w:val="18"/>
              </w:rPr>
            </w:pPr>
            <w:r w:rsidRPr="00B23013">
              <w:rPr>
                <w:rFonts w:eastAsia="Calibri" w:cs="Times New Roman"/>
                <w:color w:val="000000"/>
                <w:sz w:val="18"/>
                <w:szCs w:val="18"/>
              </w:rPr>
              <w:t>Evaluación y retroalimentación</w:t>
            </w:r>
          </w:p>
        </w:tc>
        <w:tc>
          <w:tcPr>
            <w:tcW w:w="1429" w:type="dxa"/>
            <w:tcBorders>
              <w:top w:val="single" w:sz="4" w:space="0" w:color="auto"/>
              <w:left w:val="single" w:sz="8" w:space="0" w:color="E0E0E0"/>
              <w:bottom w:val="single" w:sz="8" w:space="0" w:color="152935"/>
              <w:right w:val="nil"/>
            </w:tcBorders>
            <w:shd w:val="clear" w:color="auto" w:fill="FFFFFF"/>
            <w:vAlign w:val="bottom"/>
            <w:hideMark/>
          </w:tcPr>
          <w:p w14:paraId="0C2846A8" w14:textId="77777777" w:rsidR="00B23013" w:rsidRPr="00B23013" w:rsidRDefault="00B23013" w:rsidP="00665243">
            <w:pPr>
              <w:autoSpaceDE w:val="0"/>
              <w:autoSpaceDN w:val="0"/>
              <w:adjustRightInd w:val="0"/>
              <w:ind w:left="60" w:right="60" w:firstLine="0"/>
              <w:jc w:val="center"/>
              <w:rPr>
                <w:rFonts w:eastAsia="Calibri" w:cs="Times New Roman"/>
                <w:color w:val="000000"/>
                <w:sz w:val="18"/>
                <w:szCs w:val="18"/>
              </w:rPr>
            </w:pPr>
            <w:r w:rsidRPr="00B23013">
              <w:rPr>
                <w:rFonts w:eastAsia="Calibri" w:cs="Times New Roman"/>
                <w:color w:val="000000"/>
                <w:sz w:val="18"/>
                <w:szCs w:val="18"/>
              </w:rPr>
              <w:t>Deserción estudiantil</w:t>
            </w:r>
          </w:p>
        </w:tc>
      </w:tr>
      <w:tr w:rsidR="00B23013" w:rsidRPr="00B23013" w14:paraId="17F4053D" w14:textId="77777777" w:rsidTr="0002329A">
        <w:trPr>
          <w:cantSplit/>
          <w:trHeight w:val="334"/>
        </w:trPr>
        <w:tc>
          <w:tcPr>
            <w:tcW w:w="1788" w:type="dxa"/>
            <w:vMerge w:val="restart"/>
            <w:tcBorders>
              <w:top w:val="single" w:sz="8" w:space="0" w:color="152935"/>
              <w:left w:val="nil"/>
              <w:bottom w:val="single" w:sz="8" w:space="0" w:color="152935"/>
              <w:right w:val="nil"/>
            </w:tcBorders>
            <w:shd w:val="clear" w:color="auto" w:fill="E0E0E0"/>
            <w:hideMark/>
          </w:tcPr>
          <w:p w14:paraId="18CB9EC3"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Rho de Spearman</w:t>
            </w:r>
          </w:p>
        </w:tc>
        <w:tc>
          <w:tcPr>
            <w:tcW w:w="2055" w:type="dxa"/>
            <w:vMerge w:val="restart"/>
            <w:tcBorders>
              <w:top w:val="single" w:sz="8" w:space="0" w:color="152935"/>
              <w:left w:val="nil"/>
              <w:bottom w:val="nil"/>
              <w:right w:val="nil"/>
            </w:tcBorders>
            <w:shd w:val="clear" w:color="auto" w:fill="E0E0E0"/>
            <w:hideMark/>
          </w:tcPr>
          <w:p w14:paraId="56966772"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Evaluación y retroalimentación</w:t>
            </w:r>
          </w:p>
        </w:tc>
        <w:tc>
          <w:tcPr>
            <w:tcW w:w="2383" w:type="dxa"/>
            <w:tcBorders>
              <w:top w:val="single" w:sz="8" w:space="0" w:color="152935"/>
              <w:left w:val="nil"/>
              <w:bottom w:val="single" w:sz="8" w:space="0" w:color="AEAEAE"/>
              <w:right w:val="nil"/>
            </w:tcBorders>
            <w:shd w:val="clear" w:color="auto" w:fill="E0E0E0"/>
            <w:hideMark/>
          </w:tcPr>
          <w:p w14:paraId="630B68FE"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9" w:type="dxa"/>
            <w:tcBorders>
              <w:top w:val="single" w:sz="8" w:space="0" w:color="152935"/>
              <w:left w:val="nil"/>
              <w:bottom w:val="single" w:sz="8" w:space="0" w:color="AEAEAE"/>
              <w:right w:val="single" w:sz="8" w:space="0" w:color="E0E0E0"/>
            </w:tcBorders>
            <w:shd w:val="clear" w:color="auto" w:fill="FFFFFF"/>
            <w:hideMark/>
          </w:tcPr>
          <w:p w14:paraId="47C7CFDC"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c>
          <w:tcPr>
            <w:tcW w:w="1429" w:type="dxa"/>
            <w:tcBorders>
              <w:top w:val="single" w:sz="8" w:space="0" w:color="152935"/>
              <w:left w:val="single" w:sz="8" w:space="0" w:color="E0E0E0"/>
              <w:bottom w:val="single" w:sz="8" w:space="0" w:color="AEAEAE"/>
              <w:right w:val="nil"/>
            </w:tcBorders>
            <w:shd w:val="clear" w:color="auto" w:fill="FFFFFF"/>
            <w:hideMark/>
          </w:tcPr>
          <w:p w14:paraId="577E00DD"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,623</w:t>
            </w:r>
            <w:r w:rsidRPr="00B23013">
              <w:rPr>
                <w:rFonts w:eastAsia="Calibri" w:cs="Times New Roman"/>
                <w:color w:val="000000"/>
                <w:sz w:val="18"/>
                <w:szCs w:val="18"/>
                <w:vertAlign w:val="superscript"/>
              </w:rPr>
              <w:t>**</w:t>
            </w:r>
          </w:p>
        </w:tc>
      </w:tr>
      <w:tr w:rsidR="00B23013" w:rsidRPr="00B23013" w14:paraId="480F9E7A" w14:textId="77777777" w:rsidTr="0002329A">
        <w:trPr>
          <w:cantSplit/>
          <w:trHeight w:val="355"/>
        </w:trPr>
        <w:tc>
          <w:tcPr>
            <w:tcW w:w="1788" w:type="dxa"/>
            <w:vMerge/>
            <w:tcBorders>
              <w:top w:val="single" w:sz="8" w:space="0" w:color="152935"/>
              <w:left w:val="nil"/>
              <w:bottom w:val="single" w:sz="8" w:space="0" w:color="152935"/>
              <w:right w:val="nil"/>
            </w:tcBorders>
            <w:vAlign w:val="center"/>
            <w:hideMark/>
          </w:tcPr>
          <w:p w14:paraId="0779BEAB"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55" w:type="dxa"/>
            <w:vMerge/>
            <w:tcBorders>
              <w:top w:val="single" w:sz="8" w:space="0" w:color="152935"/>
              <w:left w:val="nil"/>
              <w:bottom w:val="nil"/>
              <w:right w:val="nil"/>
            </w:tcBorders>
            <w:vAlign w:val="center"/>
            <w:hideMark/>
          </w:tcPr>
          <w:p w14:paraId="649460DD"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83" w:type="dxa"/>
            <w:tcBorders>
              <w:top w:val="single" w:sz="8" w:space="0" w:color="AEAEAE"/>
              <w:left w:val="nil"/>
              <w:bottom w:val="single" w:sz="8" w:space="0" w:color="AEAEAE"/>
              <w:right w:val="nil"/>
            </w:tcBorders>
            <w:shd w:val="clear" w:color="auto" w:fill="E0E0E0"/>
            <w:hideMark/>
          </w:tcPr>
          <w:p w14:paraId="2B54E7B6"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9" w:type="dxa"/>
            <w:tcBorders>
              <w:top w:val="single" w:sz="8" w:space="0" w:color="AEAEAE"/>
              <w:left w:val="nil"/>
              <w:bottom w:val="single" w:sz="8" w:space="0" w:color="AEAEAE"/>
              <w:right w:val="single" w:sz="8" w:space="0" w:color="E0E0E0"/>
            </w:tcBorders>
            <w:shd w:val="clear" w:color="auto" w:fill="FFFFFF"/>
            <w:hideMark/>
          </w:tcPr>
          <w:p w14:paraId="7349FA65"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c>
          <w:tcPr>
            <w:tcW w:w="1429" w:type="dxa"/>
            <w:tcBorders>
              <w:top w:val="single" w:sz="8" w:space="0" w:color="AEAEAE"/>
              <w:left w:val="single" w:sz="8" w:space="0" w:color="E0E0E0"/>
              <w:bottom w:val="single" w:sz="8" w:space="0" w:color="AEAEAE"/>
              <w:right w:val="nil"/>
            </w:tcBorders>
            <w:shd w:val="clear" w:color="auto" w:fill="FFFFFF"/>
            <w:hideMark/>
          </w:tcPr>
          <w:p w14:paraId="7817E741"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r>
      <w:tr w:rsidR="00B23013" w:rsidRPr="00B23013" w14:paraId="1E500240" w14:textId="77777777" w:rsidTr="0002329A">
        <w:trPr>
          <w:cantSplit/>
          <w:trHeight w:val="355"/>
        </w:trPr>
        <w:tc>
          <w:tcPr>
            <w:tcW w:w="1788" w:type="dxa"/>
            <w:vMerge/>
            <w:tcBorders>
              <w:top w:val="single" w:sz="8" w:space="0" w:color="152935"/>
              <w:left w:val="nil"/>
              <w:bottom w:val="single" w:sz="8" w:space="0" w:color="152935"/>
              <w:right w:val="nil"/>
            </w:tcBorders>
            <w:vAlign w:val="center"/>
            <w:hideMark/>
          </w:tcPr>
          <w:p w14:paraId="1A3F7D86"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55" w:type="dxa"/>
            <w:vMerge/>
            <w:tcBorders>
              <w:top w:val="single" w:sz="8" w:space="0" w:color="152935"/>
              <w:left w:val="nil"/>
              <w:bottom w:val="nil"/>
              <w:right w:val="nil"/>
            </w:tcBorders>
            <w:vAlign w:val="center"/>
            <w:hideMark/>
          </w:tcPr>
          <w:p w14:paraId="10BF30EF"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83" w:type="dxa"/>
            <w:tcBorders>
              <w:top w:val="single" w:sz="8" w:space="0" w:color="AEAEAE"/>
              <w:left w:val="nil"/>
              <w:bottom w:val="nil"/>
              <w:right w:val="nil"/>
            </w:tcBorders>
            <w:shd w:val="clear" w:color="auto" w:fill="E0E0E0"/>
            <w:hideMark/>
          </w:tcPr>
          <w:p w14:paraId="11C4FD98"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9" w:type="dxa"/>
            <w:tcBorders>
              <w:top w:val="single" w:sz="8" w:space="0" w:color="AEAEAE"/>
              <w:left w:val="nil"/>
              <w:bottom w:val="nil"/>
              <w:right w:val="single" w:sz="8" w:space="0" w:color="E0E0E0"/>
            </w:tcBorders>
            <w:shd w:val="clear" w:color="auto" w:fill="FFFFFF"/>
            <w:hideMark/>
          </w:tcPr>
          <w:p w14:paraId="4D416F9C"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9" w:type="dxa"/>
            <w:tcBorders>
              <w:top w:val="single" w:sz="8" w:space="0" w:color="AEAEAE"/>
              <w:left w:val="single" w:sz="8" w:space="0" w:color="E0E0E0"/>
              <w:bottom w:val="nil"/>
              <w:right w:val="nil"/>
            </w:tcBorders>
            <w:shd w:val="clear" w:color="auto" w:fill="FFFFFF"/>
            <w:hideMark/>
          </w:tcPr>
          <w:p w14:paraId="626380C5"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0F7601B5" w14:textId="77777777" w:rsidTr="0002329A">
        <w:trPr>
          <w:cantSplit/>
          <w:trHeight w:val="377"/>
        </w:trPr>
        <w:tc>
          <w:tcPr>
            <w:tcW w:w="1788" w:type="dxa"/>
            <w:vMerge/>
            <w:tcBorders>
              <w:top w:val="single" w:sz="8" w:space="0" w:color="152935"/>
              <w:left w:val="nil"/>
              <w:bottom w:val="single" w:sz="8" w:space="0" w:color="152935"/>
              <w:right w:val="nil"/>
            </w:tcBorders>
            <w:vAlign w:val="center"/>
            <w:hideMark/>
          </w:tcPr>
          <w:p w14:paraId="7E730E50"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55" w:type="dxa"/>
            <w:vMerge w:val="restart"/>
            <w:tcBorders>
              <w:top w:val="single" w:sz="8" w:space="0" w:color="AEAEAE"/>
              <w:left w:val="nil"/>
              <w:bottom w:val="single" w:sz="8" w:space="0" w:color="152935"/>
              <w:right w:val="nil"/>
            </w:tcBorders>
            <w:shd w:val="clear" w:color="auto" w:fill="E0E0E0"/>
            <w:hideMark/>
          </w:tcPr>
          <w:p w14:paraId="1EF914B1"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Deserción estudiantil</w:t>
            </w:r>
          </w:p>
        </w:tc>
        <w:tc>
          <w:tcPr>
            <w:tcW w:w="2383" w:type="dxa"/>
            <w:tcBorders>
              <w:top w:val="single" w:sz="8" w:space="0" w:color="AEAEAE"/>
              <w:left w:val="nil"/>
              <w:bottom w:val="single" w:sz="8" w:space="0" w:color="AEAEAE"/>
              <w:right w:val="nil"/>
            </w:tcBorders>
            <w:shd w:val="clear" w:color="auto" w:fill="E0E0E0"/>
            <w:hideMark/>
          </w:tcPr>
          <w:p w14:paraId="549B8711"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9" w:type="dxa"/>
            <w:tcBorders>
              <w:top w:val="single" w:sz="8" w:space="0" w:color="AEAEAE"/>
              <w:left w:val="nil"/>
              <w:bottom w:val="single" w:sz="8" w:space="0" w:color="AEAEAE"/>
              <w:right w:val="single" w:sz="8" w:space="0" w:color="E0E0E0"/>
            </w:tcBorders>
            <w:shd w:val="clear" w:color="auto" w:fill="FFFFFF"/>
            <w:hideMark/>
          </w:tcPr>
          <w:p w14:paraId="6D997CED"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,623</w:t>
            </w:r>
            <w:r w:rsidRPr="00B23013">
              <w:rPr>
                <w:rFonts w:eastAsia="Calibri" w:cs="Times New Roman"/>
                <w:color w:val="000000"/>
                <w:sz w:val="18"/>
                <w:szCs w:val="18"/>
                <w:vertAlign w:val="superscript"/>
              </w:rPr>
              <w:t>**</w:t>
            </w:r>
          </w:p>
        </w:tc>
        <w:tc>
          <w:tcPr>
            <w:tcW w:w="1429" w:type="dxa"/>
            <w:tcBorders>
              <w:top w:val="single" w:sz="8" w:space="0" w:color="AEAEAE"/>
              <w:left w:val="single" w:sz="8" w:space="0" w:color="E0E0E0"/>
              <w:bottom w:val="single" w:sz="8" w:space="0" w:color="AEAEAE"/>
              <w:right w:val="nil"/>
            </w:tcBorders>
            <w:shd w:val="clear" w:color="auto" w:fill="FFFFFF"/>
            <w:hideMark/>
          </w:tcPr>
          <w:p w14:paraId="345A8390"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r>
      <w:tr w:rsidR="00B23013" w:rsidRPr="00B23013" w14:paraId="3611B1F3" w14:textId="77777777" w:rsidTr="0002329A">
        <w:trPr>
          <w:cantSplit/>
          <w:trHeight w:val="355"/>
        </w:trPr>
        <w:tc>
          <w:tcPr>
            <w:tcW w:w="1788" w:type="dxa"/>
            <w:vMerge/>
            <w:tcBorders>
              <w:top w:val="single" w:sz="8" w:space="0" w:color="152935"/>
              <w:left w:val="nil"/>
              <w:bottom w:val="single" w:sz="8" w:space="0" w:color="152935"/>
              <w:right w:val="nil"/>
            </w:tcBorders>
            <w:vAlign w:val="center"/>
            <w:hideMark/>
          </w:tcPr>
          <w:p w14:paraId="3D2C40CA"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55" w:type="dxa"/>
            <w:vMerge/>
            <w:tcBorders>
              <w:top w:val="single" w:sz="8" w:space="0" w:color="AEAEAE"/>
              <w:left w:val="nil"/>
              <w:bottom w:val="single" w:sz="8" w:space="0" w:color="152935"/>
              <w:right w:val="nil"/>
            </w:tcBorders>
            <w:vAlign w:val="center"/>
            <w:hideMark/>
          </w:tcPr>
          <w:p w14:paraId="65BE5C86"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83" w:type="dxa"/>
            <w:tcBorders>
              <w:top w:val="single" w:sz="8" w:space="0" w:color="AEAEAE"/>
              <w:left w:val="nil"/>
              <w:bottom w:val="single" w:sz="8" w:space="0" w:color="AEAEAE"/>
              <w:right w:val="nil"/>
            </w:tcBorders>
            <w:shd w:val="clear" w:color="auto" w:fill="E0E0E0"/>
            <w:hideMark/>
          </w:tcPr>
          <w:p w14:paraId="52F06409"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9" w:type="dxa"/>
            <w:tcBorders>
              <w:top w:val="single" w:sz="8" w:space="0" w:color="AEAEAE"/>
              <w:left w:val="nil"/>
              <w:bottom w:val="single" w:sz="8" w:space="0" w:color="AEAEAE"/>
              <w:right w:val="single" w:sz="8" w:space="0" w:color="E0E0E0"/>
            </w:tcBorders>
            <w:shd w:val="clear" w:color="auto" w:fill="FFFFFF"/>
            <w:hideMark/>
          </w:tcPr>
          <w:p w14:paraId="6B3A8190"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c>
          <w:tcPr>
            <w:tcW w:w="1429" w:type="dxa"/>
            <w:tcBorders>
              <w:top w:val="single" w:sz="8" w:space="0" w:color="AEAEAE"/>
              <w:left w:val="single" w:sz="8" w:space="0" w:color="E0E0E0"/>
              <w:bottom w:val="single" w:sz="8" w:space="0" w:color="AEAEAE"/>
              <w:right w:val="nil"/>
            </w:tcBorders>
            <w:shd w:val="clear" w:color="auto" w:fill="FFFFFF"/>
            <w:hideMark/>
          </w:tcPr>
          <w:p w14:paraId="3E89586A"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r>
      <w:tr w:rsidR="00B23013" w:rsidRPr="00B23013" w14:paraId="11BAEFFF" w14:textId="77777777" w:rsidTr="0002329A">
        <w:trPr>
          <w:cantSplit/>
          <w:trHeight w:val="355"/>
        </w:trPr>
        <w:tc>
          <w:tcPr>
            <w:tcW w:w="1788" w:type="dxa"/>
            <w:vMerge/>
            <w:tcBorders>
              <w:top w:val="single" w:sz="8" w:space="0" w:color="152935"/>
              <w:left w:val="nil"/>
              <w:bottom w:val="single" w:sz="8" w:space="0" w:color="152935"/>
              <w:right w:val="nil"/>
            </w:tcBorders>
            <w:vAlign w:val="center"/>
            <w:hideMark/>
          </w:tcPr>
          <w:p w14:paraId="5FE49024"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055" w:type="dxa"/>
            <w:vMerge/>
            <w:tcBorders>
              <w:top w:val="single" w:sz="8" w:space="0" w:color="AEAEAE"/>
              <w:left w:val="nil"/>
              <w:bottom w:val="single" w:sz="8" w:space="0" w:color="152935"/>
              <w:right w:val="nil"/>
            </w:tcBorders>
            <w:vAlign w:val="center"/>
            <w:hideMark/>
          </w:tcPr>
          <w:p w14:paraId="5E7A9F40" w14:textId="77777777" w:rsidR="00B23013" w:rsidRPr="00B23013" w:rsidRDefault="00B23013" w:rsidP="00665243">
            <w:pPr>
              <w:widowControl w:val="0"/>
              <w:autoSpaceDE w:val="0"/>
              <w:autoSpaceDN w:val="0"/>
              <w:ind w:firstLine="0"/>
              <w:rPr>
                <w:rFonts w:eastAsia="Calibri" w:cs="Times New Roman"/>
                <w:color w:val="000000"/>
                <w:sz w:val="18"/>
                <w:szCs w:val="18"/>
              </w:rPr>
            </w:pPr>
          </w:p>
        </w:tc>
        <w:tc>
          <w:tcPr>
            <w:tcW w:w="2383" w:type="dxa"/>
            <w:tcBorders>
              <w:top w:val="single" w:sz="8" w:space="0" w:color="AEAEAE"/>
              <w:left w:val="nil"/>
              <w:bottom w:val="single" w:sz="8" w:space="0" w:color="152935"/>
              <w:right w:val="nil"/>
            </w:tcBorders>
            <w:shd w:val="clear" w:color="auto" w:fill="E0E0E0"/>
            <w:hideMark/>
          </w:tcPr>
          <w:p w14:paraId="213C42DA"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9" w:type="dxa"/>
            <w:tcBorders>
              <w:top w:val="single" w:sz="8" w:space="0" w:color="AEAEAE"/>
              <w:left w:val="nil"/>
              <w:bottom w:val="single" w:sz="8" w:space="0" w:color="152935"/>
              <w:right w:val="single" w:sz="8" w:space="0" w:color="E0E0E0"/>
            </w:tcBorders>
            <w:shd w:val="clear" w:color="auto" w:fill="FFFFFF"/>
            <w:hideMark/>
          </w:tcPr>
          <w:p w14:paraId="1FDD6E8D"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9" w:type="dxa"/>
            <w:tcBorders>
              <w:top w:val="single" w:sz="8" w:space="0" w:color="AEAEAE"/>
              <w:left w:val="single" w:sz="8" w:space="0" w:color="E0E0E0"/>
              <w:bottom w:val="single" w:sz="8" w:space="0" w:color="152935"/>
              <w:right w:val="nil"/>
            </w:tcBorders>
            <w:shd w:val="clear" w:color="auto" w:fill="FFFFFF"/>
            <w:hideMark/>
          </w:tcPr>
          <w:p w14:paraId="0CE6EA66" w14:textId="77777777" w:rsidR="00B23013" w:rsidRPr="00B23013" w:rsidRDefault="00B23013" w:rsidP="00665243">
            <w:pPr>
              <w:autoSpaceDE w:val="0"/>
              <w:autoSpaceDN w:val="0"/>
              <w:adjustRightInd w:val="0"/>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4DAC8EDE" w14:textId="77777777" w:rsidTr="0002329A">
        <w:trPr>
          <w:cantSplit/>
          <w:trHeight w:val="334"/>
        </w:trPr>
        <w:tc>
          <w:tcPr>
            <w:tcW w:w="9086" w:type="dxa"/>
            <w:gridSpan w:val="5"/>
            <w:tcBorders>
              <w:top w:val="nil"/>
              <w:left w:val="nil"/>
              <w:bottom w:val="nil"/>
              <w:right w:val="nil"/>
            </w:tcBorders>
            <w:shd w:val="clear" w:color="auto" w:fill="FFFFFF"/>
            <w:hideMark/>
          </w:tcPr>
          <w:p w14:paraId="4B95D22B" w14:textId="77777777" w:rsidR="00B23013" w:rsidRPr="00B23013" w:rsidRDefault="00B23013" w:rsidP="00665243">
            <w:pPr>
              <w:autoSpaceDE w:val="0"/>
              <w:autoSpaceDN w:val="0"/>
              <w:adjustRightInd w:val="0"/>
              <w:ind w:left="60" w:right="60" w:firstLine="0"/>
              <w:rPr>
                <w:rFonts w:eastAsia="Calibri" w:cs="Times New Roman"/>
                <w:color w:val="000000"/>
                <w:sz w:val="18"/>
                <w:szCs w:val="18"/>
              </w:rPr>
            </w:pPr>
            <w:r w:rsidRPr="00B23013">
              <w:rPr>
                <w:rFonts w:eastAsia="Calibri" w:cs="Times New Roman"/>
                <w:color w:val="000000"/>
                <w:sz w:val="18"/>
                <w:szCs w:val="18"/>
              </w:rPr>
              <w:t>**. La correlación es significativa en el nivel 0,01 (bilateral).</w:t>
            </w:r>
          </w:p>
        </w:tc>
      </w:tr>
    </w:tbl>
    <w:p w14:paraId="6FF1ACEB" w14:textId="77777777" w:rsidR="00B23013" w:rsidRPr="00B23013" w:rsidRDefault="00B23013" w:rsidP="00665243">
      <w:pPr>
        <w:widowControl w:val="0"/>
        <w:tabs>
          <w:tab w:val="left" w:pos="2262"/>
        </w:tabs>
        <w:autoSpaceDE w:val="0"/>
        <w:autoSpaceDN w:val="0"/>
        <w:rPr>
          <w:rFonts w:eastAsia="Calibri" w:cs="Times New Roman"/>
          <w:b/>
          <w:bCs/>
          <w:color w:val="000000"/>
          <w:lang w:val="es-ES"/>
        </w:rPr>
      </w:pPr>
    </w:p>
    <w:p w14:paraId="25839E25" w14:textId="77777777" w:rsidR="00B23013" w:rsidRPr="00B23013" w:rsidRDefault="00B23013" w:rsidP="00665243">
      <w:pPr>
        <w:widowControl w:val="0"/>
        <w:autoSpaceDE w:val="0"/>
        <w:autoSpaceDN w:val="0"/>
        <w:rPr>
          <w:rFonts w:eastAsia="Arial MT" w:cs="Times New Roman"/>
          <w:i/>
          <w:iCs/>
          <w:color w:val="000000"/>
          <w:szCs w:val="24"/>
          <w:u w:val="single"/>
          <w:lang w:val="es-ES"/>
        </w:rPr>
      </w:pPr>
      <w:r w:rsidRPr="00B23013">
        <w:rPr>
          <w:rFonts w:eastAsia="Arial MT" w:cs="Times New Roman"/>
          <w:color w:val="000000"/>
          <w:szCs w:val="24"/>
          <w:lang w:val="es-ES"/>
        </w:rPr>
        <w:t xml:space="preserve">La tabla de correlaciones muestra que concurre una reciprocidad positiva y significativa entre evaluación y retroalimentación y una menor deserción estudiantil en la carrera técnica de Contabilidad del Instituto Superior Tecnológico Público Argentina. El factor de reciprocidad de Spearman (rho) es 0.623, lo que muestra una correspondencia moderada entre las dos variables. Esta reciprocidad es indicadora al grado 0.01, con un importe p de 0.000, lo que sugiere que a medida que la evaluación y retroalimentación se perciben como más favorables, </w:t>
      </w:r>
      <w:r w:rsidRPr="00B23013">
        <w:rPr>
          <w:rFonts w:eastAsia="Arial MT" w:cs="Times New Roman"/>
          <w:color w:val="000000"/>
          <w:szCs w:val="24"/>
          <w:lang w:val="es-ES"/>
        </w:rPr>
        <w:lastRenderedPageBreak/>
        <w:t>disminuye la probabilidad de deserción estudiantil. El volumen de la muestra es de 100 alumnos, lo que proporciona una base sólida para estas conclusiones.</w:t>
      </w:r>
    </w:p>
    <w:p w14:paraId="4556C523" w14:textId="459D0D77" w:rsidR="00B23013" w:rsidRPr="00B23013" w:rsidRDefault="00B23013" w:rsidP="00665243">
      <w:pPr>
        <w:widowControl w:val="0"/>
        <w:autoSpaceDE w:val="0"/>
        <w:autoSpaceDN w:val="0"/>
        <w:ind w:firstLine="0"/>
        <w:outlineLvl w:val="3"/>
        <w:rPr>
          <w:rFonts w:eastAsia="Arial MT" w:cs="Times New Roman"/>
          <w:b/>
          <w:bCs/>
          <w:i/>
          <w:iCs/>
          <w:color w:val="000000"/>
          <w:szCs w:val="24"/>
          <w:u w:val="single"/>
          <w:lang w:val="es-ES"/>
        </w:rPr>
      </w:pPr>
      <w:bookmarkStart w:id="26" w:name="_Toc168995848"/>
      <w:bookmarkStart w:id="27" w:name="_Toc183305643"/>
      <w:r w:rsidRPr="00B23013">
        <w:rPr>
          <w:rFonts w:eastAsia="Arial MT" w:cs="Times New Roman"/>
          <w:b/>
          <w:bCs/>
          <w:i/>
          <w:iCs/>
          <w:color w:val="000000"/>
          <w:szCs w:val="24"/>
          <w:u w:val="single"/>
          <w:lang w:val="es-ES"/>
        </w:rPr>
        <w:t>Resultados inferenciales hipótesis específica 4</w:t>
      </w:r>
      <w:bookmarkEnd w:id="26"/>
      <w:bookmarkEnd w:id="27"/>
    </w:p>
    <w:p w14:paraId="2CD5A56F"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Hi: El ambiente de aprendizaje se relaciona de forma positiva con una menor deserción estudiantil en la carrera técnica de contabilidad del Instituto Superior Tecnológico Público Argentina en el periodo 2021-2023.</w:t>
      </w:r>
    </w:p>
    <w:p w14:paraId="1B386560"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H0: El ambiente de aprendizaje no se relaciona de forma positiva con una menor deserción estudiantil en la carrera técnica de contabilidad del Instituto Superior Tecnológico Público Argentina en el periodo 2021-2023.</w:t>
      </w:r>
    </w:p>
    <w:p w14:paraId="55754038" w14:textId="4F767EF6" w:rsidR="00B23013" w:rsidRPr="00B23013" w:rsidRDefault="00B23013" w:rsidP="00B23013">
      <w:pPr>
        <w:widowControl w:val="0"/>
        <w:autoSpaceDE w:val="0"/>
        <w:autoSpaceDN w:val="0"/>
        <w:spacing w:line="480" w:lineRule="auto"/>
        <w:ind w:firstLine="0"/>
        <w:rPr>
          <w:rFonts w:eastAsia="Arial MT" w:cs="Times New Roman"/>
          <w:b/>
          <w:bCs/>
          <w:color w:val="000000"/>
          <w:szCs w:val="24"/>
          <w:lang w:val="es-ES"/>
        </w:rPr>
      </w:pPr>
      <w:bookmarkStart w:id="28" w:name="_Toc169067455"/>
      <w:r w:rsidRPr="00B23013">
        <w:rPr>
          <w:rFonts w:eastAsia="Arial MT" w:cs="Times New Roman"/>
          <w:b/>
          <w:bCs/>
          <w:color w:val="000000"/>
          <w:szCs w:val="24"/>
          <w:lang w:val="es-ES"/>
        </w:rPr>
        <w:t xml:space="preserve">Tabla </w:t>
      </w:r>
      <w:r w:rsidR="00665243">
        <w:rPr>
          <w:rFonts w:eastAsia="Arial MT" w:cs="Times New Roman"/>
          <w:b/>
          <w:bCs/>
          <w:color w:val="000000"/>
          <w:szCs w:val="24"/>
          <w:lang w:val="es-ES"/>
        </w:rPr>
        <w:t>5</w:t>
      </w:r>
    </w:p>
    <w:p w14:paraId="0E2D9856" w14:textId="77777777" w:rsidR="00B23013" w:rsidRPr="00B23013" w:rsidRDefault="00B23013" w:rsidP="00B23013">
      <w:pPr>
        <w:widowControl w:val="0"/>
        <w:autoSpaceDE w:val="0"/>
        <w:autoSpaceDN w:val="0"/>
        <w:spacing w:line="480" w:lineRule="auto"/>
        <w:ind w:firstLine="0"/>
        <w:rPr>
          <w:rFonts w:eastAsia="Arial MT" w:cs="Times New Roman"/>
          <w:i/>
          <w:iCs/>
          <w:color w:val="000000"/>
          <w:szCs w:val="24"/>
          <w:lang w:val="es-ES"/>
        </w:rPr>
      </w:pPr>
      <w:r w:rsidRPr="00B23013">
        <w:rPr>
          <w:rFonts w:eastAsia="Arial MT" w:cs="Times New Roman"/>
          <w:i/>
          <w:iCs/>
          <w:color w:val="000000"/>
          <w:position w:val="1"/>
          <w:szCs w:val="24"/>
          <w:lang w:val="es-ES"/>
        </w:rPr>
        <w:t xml:space="preserve">Correlación entre </w:t>
      </w:r>
      <w:r w:rsidRPr="00B23013">
        <w:rPr>
          <w:rFonts w:eastAsia="Arial MT" w:cs="Times New Roman"/>
          <w:i/>
          <w:iCs/>
          <w:color w:val="000000"/>
          <w:szCs w:val="24"/>
          <w:lang w:val="es-ES"/>
        </w:rPr>
        <w:t>ambiente de aprendizaje y deserción estudiantil</w:t>
      </w:r>
      <w:bookmarkEnd w:id="28"/>
    </w:p>
    <w:tbl>
      <w:tblPr>
        <w:tblW w:w="9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0"/>
        <w:gridCol w:w="2046"/>
        <w:gridCol w:w="2374"/>
        <w:gridCol w:w="1423"/>
        <w:gridCol w:w="1424"/>
      </w:tblGrid>
      <w:tr w:rsidR="00B23013" w:rsidRPr="00B23013" w14:paraId="4FE2D7EC" w14:textId="77777777" w:rsidTr="0002329A">
        <w:trPr>
          <w:cantSplit/>
          <w:trHeight w:val="582"/>
        </w:trPr>
        <w:tc>
          <w:tcPr>
            <w:tcW w:w="6200" w:type="dxa"/>
            <w:gridSpan w:val="3"/>
            <w:tcBorders>
              <w:top w:val="single" w:sz="4" w:space="0" w:color="auto"/>
              <w:left w:val="nil"/>
              <w:bottom w:val="single" w:sz="8" w:space="0" w:color="152935"/>
              <w:right w:val="nil"/>
            </w:tcBorders>
            <w:shd w:val="clear" w:color="auto" w:fill="FFFFFF"/>
            <w:vAlign w:val="bottom"/>
          </w:tcPr>
          <w:p w14:paraId="0639D59D" w14:textId="77777777" w:rsidR="00B23013" w:rsidRPr="00B23013" w:rsidRDefault="00B23013" w:rsidP="0002329A">
            <w:pPr>
              <w:autoSpaceDE w:val="0"/>
              <w:autoSpaceDN w:val="0"/>
              <w:adjustRightInd w:val="0"/>
              <w:spacing w:line="240" w:lineRule="auto"/>
              <w:ind w:firstLine="0"/>
              <w:rPr>
                <w:rFonts w:eastAsia="Calibri" w:cs="Times New Roman"/>
                <w:color w:val="000000"/>
                <w:szCs w:val="24"/>
              </w:rPr>
            </w:pPr>
          </w:p>
        </w:tc>
        <w:tc>
          <w:tcPr>
            <w:tcW w:w="1423" w:type="dxa"/>
            <w:tcBorders>
              <w:top w:val="single" w:sz="4" w:space="0" w:color="auto"/>
              <w:left w:val="nil"/>
              <w:bottom w:val="single" w:sz="8" w:space="0" w:color="152935"/>
              <w:right w:val="single" w:sz="8" w:space="0" w:color="E0E0E0"/>
            </w:tcBorders>
            <w:shd w:val="clear" w:color="auto" w:fill="FFFFFF"/>
            <w:vAlign w:val="bottom"/>
            <w:hideMark/>
          </w:tcPr>
          <w:p w14:paraId="73C4AE9D"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Ambiente de aprendizaje</w:t>
            </w:r>
          </w:p>
        </w:tc>
        <w:tc>
          <w:tcPr>
            <w:tcW w:w="1424" w:type="dxa"/>
            <w:tcBorders>
              <w:top w:val="single" w:sz="4" w:space="0" w:color="auto"/>
              <w:left w:val="single" w:sz="8" w:space="0" w:color="E0E0E0"/>
              <w:bottom w:val="single" w:sz="8" w:space="0" w:color="152935"/>
              <w:right w:val="nil"/>
            </w:tcBorders>
            <w:shd w:val="clear" w:color="auto" w:fill="FFFFFF"/>
            <w:vAlign w:val="bottom"/>
            <w:hideMark/>
          </w:tcPr>
          <w:p w14:paraId="5B6BC148" w14:textId="77777777" w:rsidR="00B23013" w:rsidRPr="00B23013" w:rsidRDefault="00B23013" w:rsidP="0002329A">
            <w:pPr>
              <w:autoSpaceDE w:val="0"/>
              <w:autoSpaceDN w:val="0"/>
              <w:adjustRightInd w:val="0"/>
              <w:spacing w:line="240" w:lineRule="auto"/>
              <w:ind w:left="60" w:right="60" w:firstLine="0"/>
              <w:jc w:val="center"/>
              <w:rPr>
                <w:rFonts w:eastAsia="Calibri" w:cs="Times New Roman"/>
                <w:color w:val="000000"/>
                <w:sz w:val="18"/>
                <w:szCs w:val="18"/>
              </w:rPr>
            </w:pPr>
            <w:r w:rsidRPr="00B23013">
              <w:rPr>
                <w:rFonts w:eastAsia="Calibri" w:cs="Times New Roman"/>
                <w:color w:val="000000"/>
                <w:sz w:val="18"/>
                <w:szCs w:val="18"/>
              </w:rPr>
              <w:t>Deserción estudiantil</w:t>
            </w:r>
          </w:p>
        </w:tc>
      </w:tr>
      <w:tr w:rsidR="00B23013" w:rsidRPr="00B23013" w14:paraId="4D0FC069" w14:textId="77777777" w:rsidTr="0002329A">
        <w:trPr>
          <w:cantSplit/>
          <w:trHeight w:val="298"/>
        </w:trPr>
        <w:tc>
          <w:tcPr>
            <w:tcW w:w="1780" w:type="dxa"/>
            <w:vMerge w:val="restart"/>
            <w:tcBorders>
              <w:top w:val="single" w:sz="8" w:space="0" w:color="152935"/>
              <w:left w:val="nil"/>
              <w:bottom w:val="single" w:sz="8" w:space="0" w:color="152935"/>
              <w:right w:val="nil"/>
            </w:tcBorders>
            <w:shd w:val="clear" w:color="auto" w:fill="E0E0E0"/>
            <w:hideMark/>
          </w:tcPr>
          <w:p w14:paraId="4C8260BC"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Rho de Spearman</w:t>
            </w:r>
          </w:p>
        </w:tc>
        <w:tc>
          <w:tcPr>
            <w:tcW w:w="2046" w:type="dxa"/>
            <w:vMerge w:val="restart"/>
            <w:tcBorders>
              <w:top w:val="single" w:sz="8" w:space="0" w:color="152935"/>
              <w:left w:val="nil"/>
              <w:bottom w:val="nil"/>
              <w:right w:val="nil"/>
            </w:tcBorders>
            <w:shd w:val="clear" w:color="auto" w:fill="E0E0E0"/>
            <w:hideMark/>
          </w:tcPr>
          <w:p w14:paraId="40C5EAA2"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Ambiente de aprendizaje</w:t>
            </w:r>
          </w:p>
        </w:tc>
        <w:tc>
          <w:tcPr>
            <w:tcW w:w="2374" w:type="dxa"/>
            <w:tcBorders>
              <w:top w:val="single" w:sz="8" w:space="0" w:color="152935"/>
              <w:left w:val="nil"/>
              <w:bottom w:val="single" w:sz="8" w:space="0" w:color="AEAEAE"/>
              <w:right w:val="nil"/>
            </w:tcBorders>
            <w:shd w:val="clear" w:color="auto" w:fill="E0E0E0"/>
            <w:hideMark/>
          </w:tcPr>
          <w:p w14:paraId="03C716A2"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3" w:type="dxa"/>
            <w:tcBorders>
              <w:top w:val="single" w:sz="8" w:space="0" w:color="152935"/>
              <w:left w:val="nil"/>
              <w:bottom w:val="single" w:sz="8" w:space="0" w:color="AEAEAE"/>
              <w:right w:val="single" w:sz="8" w:space="0" w:color="E0E0E0"/>
            </w:tcBorders>
            <w:shd w:val="clear" w:color="auto" w:fill="FFFFFF"/>
            <w:hideMark/>
          </w:tcPr>
          <w:p w14:paraId="07BBE6CC"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c>
          <w:tcPr>
            <w:tcW w:w="1424" w:type="dxa"/>
            <w:tcBorders>
              <w:top w:val="single" w:sz="8" w:space="0" w:color="152935"/>
              <w:left w:val="single" w:sz="8" w:space="0" w:color="E0E0E0"/>
              <w:bottom w:val="single" w:sz="8" w:space="0" w:color="AEAEAE"/>
              <w:right w:val="nil"/>
            </w:tcBorders>
            <w:shd w:val="clear" w:color="auto" w:fill="FFFFFF"/>
            <w:hideMark/>
          </w:tcPr>
          <w:p w14:paraId="4E91DE73"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,556</w:t>
            </w:r>
            <w:r w:rsidRPr="00B23013">
              <w:rPr>
                <w:rFonts w:eastAsia="Calibri" w:cs="Times New Roman"/>
                <w:color w:val="000000"/>
                <w:sz w:val="18"/>
                <w:szCs w:val="18"/>
                <w:vertAlign w:val="superscript"/>
              </w:rPr>
              <w:t>**</w:t>
            </w:r>
          </w:p>
        </w:tc>
      </w:tr>
      <w:tr w:rsidR="00B23013" w:rsidRPr="00B23013" w14:paraId="245F2322" w14:textId="77777777" w:rsidTr="0002329A">
        <w:trPr>
          <w:cantSplit/>
          <w:trHeight w:val="298"/>
        </w:trPr>
        <w:tc>
          <w:tcPr>
            <w:tcW w:w="1780" w:type="dxa"/>
            <w:vMerge/>
            <w:tcBorders>
              <w:top w:val="single" w:sz="8" w:space="0" w:color="152935"/>
              <w:left w:val="nil"/>
              <w:bottom w:val="single" w:sz="8" w:space="0" w:color="152935"/>
              <w:right w:val="nil"/>
            </w:tcBorders>
            <w:vAlign w:val="center"/>
            <w:hideMark/>
          </w:tcPr>
          <w:p w14:paraId="705565CA"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46" w:type="dxa"/>
            <w:vMerge/>
            <w:tcBorders>
              <w:top w:val="single" w:sz="8" w:space="0" w:color="152935"/>
              <w:left w:val="nil"/>
              <w:bottom w:val="nil"/>
              <w:right w:val="nil"/>
            </w:tcBorders>
            <w:vAlign w:val="center"/>
            <w:hideMark/>
          </w:tcPr>
          <w:p w14:paraId="172EFAEF"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74" w:type="dxa"/>
            <w:tcBorders>
              <w:top w:val="single" w:sz="8" w:space="0" w:color="AEAEAE"/>
              <w:left w:val="nil"/>
              <w:bottom w:val="single" w:sz="8" w:space="0" w:color="AEAEAE"/>
              <w:right w:val="nil"/>
            </w:tcBorders>
            <w:shd w:val="clear" w:color="auto" w:fill="E0E0E0"/>
            <w:hideMark/>
          </w:tcPr>
          <w:p w14:paraId="005D62BE"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3" w:type="dxa"/>
            <w:tcBorders>
              <w:top w:val="single" w:sz="8" w:space="0" w:color="AEAEAE"/>
              <w:left w:val="nil"/>
              <w:bottom w:val="single" w:sz="8" w:space="0" w:color="AEAEAE"/>
              <w:right w:val="single" w:sz="8" w:space="0" w:color="E0E0E0"/>
            </w:tcBorders>
            <w:shd w:val="clear" w:color="auto" w:fill="FFFFFF"/>
            <w:hideMark/>
          </w:tcPr>
          <w:p w14:paraId="19A1C42E"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c>
          <w:tcPr>
            <w:tcW w:w="1424" w:type="dxa"/>
            <w:tcBorders>
              <w:top w:val="single" w:sz="8" w:space="0" w:color="AEAEAE"/>
              <w:left w:val="single" w:sz="8" w:space="0" w:color="E0E0E0"/>
              <w:bottom w:val="single" w:sz="8" w:space="0" w:color="AEAEAE"/>
              <w:right w:val="nil"/>
            </w:tcBorders>
            <w:shd w:val="clear" w:color="auto" w:fill="FFFFFF"/>
            <w:hideMark/>
          </w:tcPr>
          <w:p w14:paraId="6DEFD22E"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r>
      <w:tr w:rsidR="00B23013" w:rsidRPr="00B23013" w14:paraId="6F79110C" w14:textId="77777777" w:rsidTr="0002329A">
        <w:trPr>
          <w:cantSplit/>
          <w:trHeight w:val="317"/>
        </w:trPr>
        <w:tc>
          <w:tcPr>
            <w:tcW w:w="1780" w:type="dxa"/>
            <w:vMerge/>
            <w:tcBorders>
              <w:top w:val="single" w:sz="8" w:space="0" w:color="152935"/>
              <w:left w:val="nil"/>
              <w:bottom w:val="single" w:sz="8" w:space="0" w:color="152935"/>
              <w:right w:val="nil"/>
            </w:tcBorders>
            <w:vAlign w:val="center"/>
            <w:hideMark/>
          </w:tcPr>
          <w:p w14:paraId="70D3951B"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46" w:type="dxa"/>
            <w:vMerge/>
            <w:tcBorders>
              <w:top w:val="single" w:sz="8" w:space="0" w:color="152935"/>
              <w:left w:val="nil"/>
              <w:bottom w:val="nil"/>
              <w:right w:val="nil"/>
            </w:tcBorders>
            <w:vAlign w:val="center"/>
            <w:hideMark/>
          </w:tcPr>
          <w:p w14:paraId="000C3123"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74" w:type="dxa"/>
            <w:tcBorders>
              <w:top w:val="single" w:sz="8" w:space="0" w:color="AEAEAE"/>
              <w:left w:val="nil"/>
              <w:bottom w:val="nil"/>
              <w:right w:val="nil"/>
            </w:tcBorders>
            <w:shd w:val="clear" w:color="auto" w:fill="E0E0E0"/>
            <w:hideMark/>
          </w:tcPr>
          <w:p w14:paraId="6EC5B6CC"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3" w:type="dxa"/>
            <w:tcBorders>
              <w:top w:val="single" w:sz="8" w:space="0" w:color="AEAEAE"/>
              <w:left w:val="nil"/>
              <w:bottom w:val="nil"/>
              <w:right w:val="single" w:sz="8" w:space="0" w:color="E0E0E0"/>
            </w:tcBorders>
            <w:shd w:val="clear" w:color="auto" w:fill="FFFFFF"/>
            <w:hideMark/>
          </w:tcPr>
          <w:p w14:paraId="32029AF6"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4" w:type="dxa"/>
            <w:tcBorders>
              <w:top w:val="single" w:sz="8" w:space="0" w:color="AEAEAE"/>
              <w:left w:val="single" w:sz="8" w:space="0" w:color="E0E0E0"/>
              <w:bottom w:val="nil"/>
              <w:right w:val="nil"/>
            </w:tcBorders>
            <w:shd w:val="clear" w:color="auto" w:fill="FFFFFF"/>
            <w:hideMark/>
          </w:tcPr>
          <w:p w14:paraId="28FF9161"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7CCB5371" w14:textId="77777777" w:rsidTr="0002329A">
        <w:trPr>
          <w:cantSplit/>
          <w:trHeight w:val="317"/>
        </w:trPr>
        <w:tc>
          <w:tcPr>
            <w:tcW w:w="1780" w:type="dxa"/>
            <w:vMerge/>
            <w:tcBorders>
              <w:top w:val="single" w:sz="8" w:space="0" w:color="152935"/>
              <w:left w:val="nil"/>
              <w:bottom w:val="single" w:sz="8" w:space="0" w:color="152935"/>
              <w:right w:val="nil"/>
            </w:tcBorders>
            <w:vAlign w:val="center"/>
            <w:hideMark/>
          </w:tcPr>
          <w:p w14:paraId="128FFF42"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46" w:type="dxa"/>
            <w:vMerge w:val="restart"/>
            <w:tcBorders>
              <w:top w:val="single" w:sz="8" w:space="0" w:color="AEAEAE"/>
              <w:left w:val="nil"/>
              <w:bottom w:val="single" w:sz="8" w:space="0" w:color="152935"/>
              <w:right w:val="nil"/>
            </w:tcBorders>
            <w:shd w:val="clear" w:color="auto" w:fill="E0E0E0"/>
            <w:hideMark/>
          </w:tcPr>
          <w:p w14:paraId="3940513B"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Deserción estudiantil</w:t>
            </w:r>
          </w:p>
        </w:tc>
        <w:tc>
          <w:tcPr>
            <w:tcW w:w="2374" w:type="dxa"/>
            <w:tcBorders>
              <w:top w:val="single" w:sz="8" w:space="0" w:color="AEAEAE"/>
              <w:left w:val="nil"/>
              <w:bottom w:val="single" w:sz="8" w:space="0" w:color="AEAEAE"/>
              <w:right w:val="nil"/>
            </w:tcBorders>
            <w:shd w:val="clear" w:color="auto" w:fill="E0E0E0"/>
            <w:hideMark/>
          </w:tcPr>
          <w:p w14:paraId="73791E7F"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Coeficiente de correlación</w:t>
            </w:r>
          </w:p>
        </w:tc>
        <w:tc>
          <w:tcPr>
            <w:tcW w:w="1423" w:type="dxa"/>
            <w:tcBorders>
              <w:top w:val="single" w:sz="8" w:space="0" w:color="AEAEAE"/>
              <w:left w:val="nil"/>
              <w:bottom w:val="single" w:sz="8" w:space="0" w:color="AEAEAE"/>
              <w:right w:val="single" w:sz="8" w:space="0" w:color="E0E0E0"/>
            </w:tcBorders>
            <w:shd w:val="clear" w:color="auto" w:fill="FFFFFF"/>
            <w:hideMark/>
          </w:tcPr>
          <w:p w14:paraId="0893D4B8"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,556</w:t>
            </w:r>
            <w:r w:rsidRPr="00B23013">
              <w:rPr>
                <w:rFonts w:eastAsia="Calibri" w:cs="Times New Roman"/>
                <w:color w:val="000000"/>
                <w:sz w:val="18"/>
                <w:szCs w:val="18"/>
                <w:vertAlign w:val="superscript"/>
              </w:rPr>
              <w:t>**</w:t>
            </w:r>
          </w:p>
        </w:tc>
        <w:tc>
          <w:tcPr>
            <w:tcW w:w="1424" w:type="dxa"/>
            <w:tcBorders>
              <w:top w:val="single" w:sz="8" w:space="0" w:color="AEAEAE"/>
              <w:left w:val="single" w:sz="8" w:space="0" w:color="E0E0E0"/>
              <w:bottom w:val="single" w:sz="8" w:space="0" w:color="AEAEAE"/>
              <w:right w:val="nil"/>
            </w:tcBorders>
            <w:shd w:val="clear" w:color="auto" w:fill="FFFFFF"/>
            <w:hideMark/>
          </w:tcPr>
          <w:p w14:paraId="2A543D95"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1,000</w:t>
            </w:r>
          </w:p>
        </w:tc>
      </w:tr>
      <w:tr w:rsidR="00B23013" w:rsidRPr="00B23013" w14:paraId="2B8E6A5B" w14:textId="77777777" w:rsidTr="0002329A">
        <w:trPr>
          <w:cantSplit/>
          <w:trHeight w:val="298"/>
        </w:trPr>
        <w:tc>
          <w:tcPr>
            <w:tcW w:w="1780" w:type="dxa"/>
            <w:vMerge/>
            <w:tcBorders>
              <w:top w:val="single" w:sz="8" w:space="0" w:color="152935"/>
              <w:left w:val="nil"/>
              <w:bottom w:val="single" w:sz="8" w:space="0" w:color="152935"/>
              <w:right w:val="nil"/>
            </w:tcBorders>
            <w:vAlign w:val="center"/>
            <w:hideMark/>
          </w:tcPr>
          <w:p w14:paraId="1F4D1FD9"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46" w:type="dxa"/>
            <w:vMerge/>
            <w:tcBorders>
              <w:top w:val="single" w:sz="8" w:space="0" w:color="AEAEAE"/>
              <w:left w:val="nil"/>
              <w:bottom w:val="single" w:sz="8" w:space="0" w:color="152935"/>
              <w:right w:val="nil"/>
            </w:tcBorders>
            <w:vAlign w:val="center"/>
            <w:hideMark/>
          </w:tcPr>
          <w:p w14:paraId="6CCB7CCE"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74" w:type="dxa"/>
            <w:tcBorders>
              <w:top w:val="single" w:sz="8" w:space="0" w:color="AEAEAE"/>
              <w:left w:val="nil"/>
              <w:bottom w:val="single" w:sz="8" w:space="0" w:color="AEAEAE"/>
              <w:right w:val="nil"/>
            </w:tcBorders>
            <w:shd w:val="clear" w:color="auto" w:fill="E0E0E0"/>
            <w:hideMark/>
          </w:tcPr>
          <w:p w14:paraId="557FD4C9"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Sig. (bilateral)</w:t>
            </w:r>
          </w:p>
        </w:tc>
        <w:tc>
          <w:tcPr>
            <w:tcW w:w="1423" w:type="dxa"/>
            <w:tcBorders>
              <w:top w:val="single" w:sz="8" w:space="0" w:color="AEAEAE"/>
              <w:left w:val="nil"/>
              <w:bottom w:val="single" w:sz="8" w:space="0" w:color="AEAEAE"/>
              <w:right w:val="single" w:sz="8" w:space="0" w:color="E0E0E0"/>
            </w:tcBorders>
            <w:shd w:val="clear" w:color="auto" w:fill="FFFFFF"/>
            <w:hideMark/>
          </w:tcPr>
          <w:p w14:paraId="2412F6DE"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,000</w:t>
            </w:r>
          </w:p>
        </w:tc>
        <w:tc>
          <w:tcPr>
            <w:tcW w:w="1424" w:type="dxa"/>
            <w:tcBorders>
              <w:top w:val="single" w:sz="8" w:space="0" w:color="AEAEAE"/>
              <w:left w:val="single" w:sz="8" w:space="0" w:color="E0E0E0"/>
              <w:bottom w:val="single" w:sz="8" w:space="0" w:color="AEAEAE"/>
              <w:right w:val="nil"/>
            </w:tcBorders>
            <w:shd w:val="clear" w:color="auto" w:fill="FFFFFF"/>
            <w:hideMark/>
          </w:tcPr>
          <w:p w14:paraId="06955FF2"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w:t>
            </w:r>
          </w:p>
        </w:tc>
      </w:tr>
      <w:tr w:rsidR="00B23013" w:rsidRPr="00B23013" w14:paraId="12C99AF6" w14:textId="77777777" w:rsidTr="0002329A">
        <w:trPr>
          <w:cantSplit/>
          <w:trHeight w:val="317"/>
        </w:trPr>
        <w:tc>
          <w:tcPr>
            <w:tcW w:w="1780" w:type="dxa"/>
            <w:vMerge/>
            <w:tcBorders>
              <w:top w:val="single" w:sz="8" w:space="0" w:color="152935"/>
              <w:left w:val="nil"/>
              <w:bottom w:val="single" w:sz="8" w:space="0" w:color="152935"/>
              <w:right w:val="nil"/>
            </w:tcBorders>
            <w:vAlign w:val="center"/>
            <w:hideMark/>
          </w:tcPr>
          <w:p w14:paraId="1192FBAE"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046" w:type="dxa"/>
            <w:vMerge/>
            <w:tcBorders>
              <w:top w:val="single" w:sz="8" w:space="0" w:color="AEAEAE"/>
              <w:left w:val="nil"/>
              <w:bottom w:val="single" w:sz="8" w:space="0" w:color="152935"/>
              <w:right w:val="nil"/>
            </w:tcBorders>
            <w:vAlign w:val="center"/>
            <w:hideMark/>
          </w:tcPr>
          <w:p w14:paraId="4ECDF4C9" w14:textId="77777777" w:rsidR="00B23013" w:rsidRPr="00B23013" w:rsidRDefault="00B23013" w:rsidP="0002329A">
            <w:pPr>
              <w:widowControl w:val="0"/>
              <w:autoSpaceDE w:val="0"/>
              <w:autoSpaceDN w:val="0"/>
              <w:spacing w:line="240" w:lineRule="auto"/>
              <w:ind w:firstLine="0"/>
              <w:rPr>
                <w:rFonts w:eastAsia="Calibri" w:cs="Times New Roman"/>
                <w:color w:val="000000"/>
                <w:sz w:val="18"/>
                <w:szCs w:val="18"/>
              </w:rPr>
            </w:pPr>
          </w:p>
        </w:tc>
        <w:tc>
          <w:tcPr>
            <w:tcW w:w="2374" w:type="dxa"/>
            <w:tcBorders>
              <w:top w:val="single" w:sz="8" w:space="0" w:color="AEAEAE"/>
              <w:left w:val="nil"/>
              <w:bottom w:val="single" w:sz="8" w:space="0" w:color="152935"/>
              <w:right w:val="nil"/>
            </w:tcBorders>
            <w:shd w:val="clear" w:color="auto" w:fill="E0E0E0"/>
            <w:hideMark/>
          </w:tcPr>
          <w:p w14:paraId="4E34B429"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N</w:t>
            </w:r>
          </w:p>
        </w:tc>
        <w:tc>
          <w:tcPr>
            <w:tcW w:w="1423" w:type="dxa"/>
            <w:tcBorders>
              <w:top w:val="single" w:sz="8" w:space="0" w:color="AEAEAE"/>
              <w:left w:val="nil"/>
              <w:bottom w:val="single" w:sz="8" w:space="0" w:color="152935"/>
              <w:right w:val="single" w:sz="8" w:space="0" w:color="E0E0E0"/>
            </w:tcBorders>
            <w:shd w:val="clear" w:color="auto" w:fill="FFFFFF"/>
            <w:hideMark/>
          </w:tcPr>
          <w:p w14:paraId="56F06D5F"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c>
          <w:tcPr>
            <w:tcW w:w="1424" w:type="dxa"/>
            <w:tcBorders>
              <w:top w:val="single" w:sz="8" w:space="0" w:color="AEAEAE"/>
              <w:left w:val="single" w:sz="8" w:space="0" w:color="E0E0E0"/>
              <w:bottom w:val="single" w:sz="8" w:space="0" w:color="152935"/>
              <w:right w:val="nil"/>
            </w:tcBorders>
            <w:shd w:val="clear" w:color="auto" w:fill="FFFFFF"/>
            <w:hideMark/>
          </w:tcPr>
          <w:p w14:paraId="60A0C59A" w14:textId="77777777" w:rsidR="00B23013" w:rsidRPr="00B23013" w:rsidRDefault="00B23013" w:rsidP="0002329A">
            <w:pPr>
              <w:autoSpaceDE w:val="0"/>
              <w:autoSpaceDN w:val="0"/>
              <w:adjustRightInd w:val="0"/>
              <w:spacing w:line="240" w:lineRule="auto"/>
              <w:ind w:left="60" w:right="60" w:firstLine="0"/>
              <w:jc w:val="right"/>
              <w:rPr>
                <w:rFonts w:eastAsia="Calibri" w:cs="Times New Roman"/>
                <w:color w:val="000000"/>
                <w:sz w:val="18"/>
                <w:szCs w:val="18"/>
              </w:rPr>
            </w:pPr>
            <w:r w:rsidRPr="00B23013">
              <w:rPr>
                <w:rFonts w:eastAsia="Calibri" w:cs="Times New Roman"/>
                <w:color w:val="000000"/>
                <w:sz w:val="18"/>
                <w:szCs w:val="18"/>
              </w:rPr>
              <w:t>100</w:t>
            </w:r>
          </w:p>
        </w:tc>
      </w:tr>
      <w:tr w:rsidR="00B23013" w:rsidRPr="00B23013" w14:paraId="55060494" w14:textId="77777777" w:rsidTr="0002329A">
        <w:trPr>
          <w:cantSplit/>
          <w:trHeight w:val="298"/>
        </w:trPr>
        <w:tc>
          <w:tcPr>
            <w:tcW w:w="9047" w:type="dxa"/>
            <w:gridSpan w:val="5"/>
            <w:tcBorders>
              <w:top w:val="nil"/>
              <w:left w:val="nil"/>
              <w:bottom w:val="nil"/>
              <w:right w:val="nil"/>
            </w:tcBorders>
            <w:shd w:val="clear" w:color="auto" w:fill="FFFFFF"/>
            <w:hideMark/>
          </w:tcPr>
          <w:p w14:paraId="5B4A8610" w14:textId="77777777" w:rsidR="00B23013" w:rsidRPr="00B23013" w:rsidRDefault="00B23013" w:rsidP="0002329A">
            <w:pPr>
              <w:autoSpaceDE w:val="0"/>
              <w:autoSpaceDN w:val="0"/>
              <w:adjustRightInd w:val="0"/>
              <w:spacing w:line="240" w:lineRule="auto"/>
              <w:ind w:left="60" w:right="60" w:firstLine="0"/>
              <w:rPr>
                <w:rFonts w:eastAsia="Calibri" w:cs="Times New Roman"/>
                <w:color w:val="000000"/>
                <w:sz w:val="18"/>
                <w:szCs w:val="18"/>
              </w:rPr>
            </w:pPr>
            <w:r w:rsidRPr="00B23013">
              <w:rPr>
                <w:rFonts w:eastAsia="Calibri" w:cs="Times New Roman"/>
                <w:color w:val="000000"/>
                <w:sz w:val="18"/>
                <w:szCs w:val="18"/>
              </w:rPr>
              <w:t>**. La correlación es significativa en el nivel 0,01 (bilateral).</w:t>
            </w:r>
          </w:p>
        </w:tc>
      </w:tr>
    </w:tbl>
    <w:p w14:paraId="62EA89C4" w14:textId="77777777" w:rsidR="00B23013" w:rsidRPr="00B23013" w:rsidRDefault="00B23013" w:rsidP="00B23013">
      <w:pPr>
        <w:autoSpaceDE w:val="0"/>
        <w:autoSpaceDN w:val="0"/>
        <w:adjustRightInd w:val="0"/>
        <w:spacing w:line="480" w:lineRule="auto"/>
        <w:rPr>
          <w:rFonts w:eastAsia="Calibri" w:cs="Times New Roman"/>
          <w:color w:val="000000"/>
          <w:szCs w:val="24"/>
          <w:lang w:val="es-ES"/>
        </w:rPr>
      </w:pPr>
    </w:p>
    <w:p w14:paraId="5AB40289" w14:textId="77777777" w:rsidR="00B23013" w:rsidRPr="00B23013" w:rsidRDefault="00B23013" w:rsidP="00665243">
      <w:pPr>
        <w:widowControl w:val="0"/>
        <w:autoSpaceDE w:val="0"/>
        <w:autoSpaceDN w:val="0"/>
        <w:rPr>
          <w:rFonts w:eastAsia="Arial MT" w:cs="Times New Roman"/>
          <w:color w:val="000000"/>
          <w:szCs w:val="24"/>
          <w:lang w:val="es-ES"/>
        </w:rPr>
      </w:pPr>
      <w:r w:rsidRPr="00B23013">
        <w:rPr>
          <w:rFonts w:eastAsia="Arial MT" w:cs="Times New Roman"/>
          <w:color w:val="000000"/>
          <w:szCs w:val="24"/>
          <w:lang w:val="es-ES"/>
        </w:rPr>
        <w:t>La tabla de correlaciones muestra que hay presente una correlación positiva y significativa entre ambiente de aprendizaje y una menor deserción estudiantil en la carrera técnica de Contabilidad del Instituto Superior Tecnológico Público Argentina. El factor de reciprocidad de Spearman (rho) es 0.556, lo que muestra una correspondencia moderada entre las dos variables. Esta reciprocidad es indicadora al nivel 0.01, con un valor p de 0.000, lo que sugiere que a medida que el ambiente de aprendizaje se percibe como más favorables, disminuye la probabilidad de deserción estudiantil. La dimensión de la muestra es de 100 alumnos, lo que proporciona una base sólida para estas conclusiones.</w:t>
      </w:r>
    </w:p>
    <w:p w14:paraId="44EFFCB2" w14:textId="77777777" w:rsidR="00DB6CD8" w:rsidRPr="00B23013" w:rsidRDefault="00DB6CD8" w:rsidP="00DB6CD8">
      <w:pPr>
        <w:ind w:firstLine="0"/>
        <w:rPr>
          <w:rFonts w:cs="Times New Roman"/>
          <w:b/>
          <w:bCs/>
          <w:szCs w:val="24"/>
          <w:lang w:val="es-ES"/>
        </w:rPr>
      </w:pPr>
    </w:p>
    <w:p w14:paraId="750B37CC" w14:textId="74E9B5CA" w:rsidR="00B12790" w:rsidRDefault="007F59AF" w:rsidP="00DB6CD8">
      <w:pPr>
        <w:ind w:firstLine="0"/>
        <w:rPr>
          <w:rFonts w:cs="Times New Roman"/>
          <w:b/>
          <w:bCs/>
          <w:szCs w:val="24"/>
        </w:rPr>
      </w:pPr>
      <w:r w:rsidRPr="00D05FAA">
        <w:rPr>
          <w:rFonts w:cs="Times New Roman"/>
          <w:b/>
          <w:bCs/>
          <w:szCs w:val="24"/>
        </w:rPr>
        <w:t>CONCLUSIONES</w:t>
      </w:r>
    </w:p>
    <w:p w14:paraId="67995E4A" w14:textId="70A6EBC6" w:rsidR="00665243" w:rsidRDefault="00665243" w:rsidP="00665243">
      <w:pPr>
        <w:rPr>
          <w:lang w:eastAsia="es-PE"/>
        </w:rPr>
      </w:pPr>
      <w:r w:rsidRPr="00665243">
        <w:rPr>
          <w:lang w:eastAsia="es-PE"/>
        </w:rPr>
        <w:t xml:space="preserve">El estudio concluye que existe una relación positiva entre los componentes académicos y la reducción de la deserción estudiantil en la carrera técnica de Contabilidad del Instituto Superior Tecnológico Público Argentina durante 2021-2023. El coeficiente de correlación de Spearman (rho) de 0.521 indica que a medida que los factores académicos son más favorables, </w:t>
      </w:r>
      <w:r w:rsidRPr="00665243">
        <w:rPr>
          <w:lang w:eastAsia="es-PE"/>
        </w:rPr>
        <w:lastRenderedPageBreak/>
        <w:t>disminuye la deserción. La preparación docente muestra una correlación significativa (rho = 0.624), sugiriendo que una mejor capacitación de los docentes contribuye a la retención de alumnos. Además, los recursos y soporte académico tienen una correlación moderada (rho = 0.589), destacando su importancia para mantener a los estudiantes. La evaluación y retroalimentación efectivas también están correlacionadas positivamente (rho = 0.623) con la reducción de la deserción, al igual que un ambiente de aprendizaje favorable (rho = 0.556), lo que subraya la necesidad de un entorno educativo positivo para el éxito académico.</w:t>
      </w:r>
    </w:p>
    <w:p w14:paraId="4EB007FC" w14:textId="77777777" w:rsidR="0002329A" w:rsidRDefault="0002329A" w:rsidP="00665243">
      <w:pPr>
        <w:rPr>
          <w:lang w:eastAsia="es-PE"/>
        </w:rPr>
      </w:pPr>
    </w:p>
    <w:p w14:paraId="2D47640B" w14:textId="522F2E87" w:rsidR="00B15060" w:rsidRDefault="00B15060" w:rsidP="00D05FAA">
      <w:pPr>
        <w:widowControl w:val="0"/>
        <w:autoSpaceDE w:val="0"/>
        <w:autoSpaceDN w:val="0"/>
        <w:spacing w:line="480" w:lineRule="auto"/>
        <w:ind w:left="567" w:hanging="567"/>
        <w:rPr>
          <w:rFonts w:cs="Times New Roman"/>
          <w:b/>
          <w:bCs/>
          <w:szCs w:val="24"/>
        </w:rPr>
      </w:pPr>
      <w:r w:rsidRPr="00D05FAA">
        <w:rPr>
          <w:rFonts w:cs="Times New Roman"/>
          <w:b/>
          <w:bCs/>
          <w:szCs w:val="24"/>
        </w:rPr>
        <w:t>REFERENCIAS</w:t>
      </w:r>
    </w:p>
    <w:p w14:paraId="342AEDBB" w14:textId="264046CA" w:rsidR="0002329A" w:rsidRDefault="0002329A" w:rsidP="0002329A">
      <w:pPr>
        <w:widowControl w:val="0"/>
        <w:autoSpaceDE w:val="0"/>
        <w:autoSpaceDN w:val="0"/>
        <w:spacing w:line="480" w:lineRule="auto"/>
        <w:ind w:left="567" w:hanging="567"/>
        <w:rPr>
          <w:rFonts w:cs="Times New Roman"/>
          <w:szCs w:val="24"/>
        </w:rPr>
      </w:pPr>
      <w:r w:rsidRPr="0002329A">
        <w:rPr>
          <w:rFonts w:cs="Times New Roman"/>
          <w:szCs w:val="24"/>
        </w:rPr>
        <w:t xml:space="preserve">Castillo-Sánchez, Mario, Gamboa-Araya, Ronny, </w:t>
      </w:r>
      <w:r>
        <w:rPr>
          <w:rFonts w:cs="Times New Roman"/>
          <w:szCs w:val="24"/>
        </w:rPr>
        <w:t xml:space="preserve">y </w:t>
      </w:r>
      <w:r w:rsidRPr="0002329A">
        <w:rPr>
          <w:rFonts w:cs="Times New Roman"/>
          <w:szCs w:val="24"/>
        </w:rPr>
        <w:t xml:space="preserve">Hidalgo-Mora, Randall. (2020). Factores que influyen en la deserción y reprobación de estudiantes de un curso universitario de matemáticas. </w:t>
      </w:r>
      <w:proofErr w:type="spellStart"/>
      <w:r w:rsidRPr="0002329A">
        <w:rPr>
          <w:rFonts w:cs="Times New Roman"/>
          <w:i/>
          <w:iCs/>
          <w:szCs w:val="24"/>
        </w:rPr>
        <w:t>Uniciencia</w:t>
      </w:r>
      <w:proofErr w:type="spellEnd"/>
      <w:r w:rsidRPr="0002329A">
        <w:rPr>
          <w:rFonts w:cs="Times New Roman"/>
          <w:i/>
          <w:iCs/>
          <w:szCs w:val="24"/>
        </w:rPr>
        <w:t>,</w:t>
      </w:r>
      <w:r w:rsidRPr="0002329A">
        <w:rPr>
          <w:rFonts w:cs="Times New Roman"/>
          <w:szCs w:val="24"/>
        </w:rPr>
        <w:t xml:space="preserve"> 34 (1), 219-245. </w:t>
      </w:r>
      <w:hyperlink r:id="rId8" w:history="1">
        <w:r w:rsidRPr="00435988">
          <w:rPr>
            <w:rStyle w:val="Hipervnculo"/>
            <w:rFonts w:cs="Times New Roman"/>
            <w:szCs w:val="24"/>
          </w:rPr>
          <w:t>https://dx.doi.org/10.15359/ru.34-1.13</w:t>
        </w:r>
      </w:hyperlink>
      <w:r w:rsidRPr="0002329A">
        <w:rPr>
          <w:rFonts w:cs="Times New Roman"/>
          <w:szCs w:val="24"/>
        </w:rPr>
        <w:t xml:space="preserve"> </w:t>
      </w:r>
    </w:p>
    <w:p w14:paraId="7718E507" w14:textId="555BF861" w:rsidR="0002329A" w:rsidRPr="0002329A" w:rsidRDefault="0002329A" w:rsidP="0002329A">
      <w:pPr>
        <w:widowControl w:val="0"/>
        <w:autoSpaceDE w:val="0"/>
        <w:autoSpaceDN w:val="0"/>
        <w:spacing w:line="480" w:lineRule="auto"/>
        <w:ind w:left="567" w:hanging="567"/>
        <w:rPr>
          <w:rFonts w:cs="Times New Roman"/>
          <w:szCs w:val="24"/>
        </w:rPr>
      </w:pPr>
      <w:proofErr w:type="spellStart"/>
      <w:r w:rsidRPr="0002329A">
        <w:rPr>
          <w:rFonts w:cs="Times New Roman"/>
          <w:szCs w:val="24"/>
        </w:rPr>
        <w:t>Cossio</w:t>
      </w:r>
      <w:proofErr w:type="spellEnd"/>
      <w:r w:rsidRPr="0002329A">
        <w:rPr>
          <w:rFonts w:cs="Times New Roman"/>
          <w:szCs w:val="24"/>
        </w:rPr>
        <w:t xml:space="preserve"> Rojas, L. P. (2021). Deserción universitaria en estudiantes de la especialidad de educación primaria.</w:t>
      </w:r>
    </w:p>
    <w:p w14:paraId="445494A1" w14:textId="5A066391" w:rsidR="0002329A" w:rsidRPr="0002329A" w:rsidRDefault="0002329A" w:rsidP="0002329A">
      <w:pPr>
        <w:widowControl w:val="0"/>
        <w:autoSpaceDE w:val="0"/>
        <w:autoSpaceDN w:val="0"/>
        <w:spacing w:line="480" w:lineRule="auto"/>
        <w:ind w:left="567" w:hanging="567"/>
        <w:rPr>
          <w:rFonts w:cs="Times New Roman"/>
          <w:szCs w:val="24"/>
        </w:rPr>
      </w:pPr>
      <w:r w:rsidRPr="0002329A">
        <w:rPr>
          <w:rFonts w:cs="Times New Roman"/>
          <w:szCs w:val="24"/>
        </w:rPr>
        <w:t xml:space="preserve">Erazo Guerra, Xavier Fernando, &amp; Rosero Morales, Elena del </w:t>
      </w:r>
      <w:proofErr w:type="spellStart"/>
      <w:r w:rsidRPr="0002329A">
        <w:rPr>
          <w:rFonts w:cs="Times New Roman"/>
          <w:szCs w:val="24"/>
        </w:rPr>
        <w:t>Rocio</w:t>
      </w:r>
      <w:proofErr w:type="spellEnd"/>
      <w:r w:rsidRPr="0002329A">
        <w:rPr>
          <w:rFonts w:cs="Times New Roman"/>
          <w:szCs w:val="24"/>
        </w:rPr>
        <w:t xml:space="preserve">. (2021). Orientación vocacional y su influencia en la deserción universitaria. Horizontes </w:t>
      </w:r>
      <w:r w:rsidRPr="0002329A">
        <w:rPr>
          <w:rFonts w:cs="Times New Roman"/>
          <w:i/>
          <w:iCs/>
          <w:szCs w:val="24"/>
        </w:rPr>
        <w:t>Revista de Investigación en Ciencias de la Educación</w:t>
      </w:r>
      <w:r w:rsidRPr="0002329A">
        <w:rPr>
          <w:rFonts w:cs="Times New Roman"/>
          <w:szCs w:val="24"/>
        </w:rPr>
        <w:t xml:space="preserve">, 5(18), 591-606. </w:t>
      </w:r>
      <w:proofErr w:type="spellStart"/>
      <w:r w:rsidRPr="0002329A">
        <w:rPr>
          <w:rFonts w:cs="Times New Roman"/>
          <w:szCs w:val="24"/>
        </w:rPr>
        <w:t>Epub</w:t>
      </w:r>
      <w:proofErr w:type="spellEnd"/>
      <w:r w:rsidRPr="0002329A">
        <w:rPr>
          <w:rFonts w:cs="Times New Roman"/>
          <w:szCs w:val="24"/>
        </w:rPr>
        <w:t xml:space="preserve"> 30 de junio de 2021. </w:t>
      </w:r>
      <w:hyperlink r:id="rId9" w:history="1">
        <w:r w:rsidRPr="0002329A">
          <w:rPr>
            <w:rStyle w:val="Hipervnculo"/>
            <w:rFonts w:cs="Times New Roman"/>
            <w:szCs w:val="24"/>
          </w:rPr>
          <w:t>https://doi.org/10.33996/revistahorizontes.v5i18.198</w:t>
        </w:r>
      </w:hyperlink>
    </w:p>
    <w:p w14:paraId="0CDE0E9E" w14:textId="5A65F28E" w:rsidR="0002329A" w:rsidRPr="0002329A" w:rsidRDefault="0002329A" w:rsidP="0002329A">
      <w:pPr>
        <w:widowControl w:val="0"/>
        <w:autoSpaceDE w:val="0"/>
        <w:autoSpaceDN w:val="0"/>
        <w:spacing w:line="480" w:lineRule="auto"/>
        <w:ind w:left="567" w:hanging="567"/>
        <w:rPr>
          <w:rFonts w:cs="Times New Roman"/>
          <w:szCs w:val="24"/>
        </w:rPr>
      </w:pPr>
      <w:r w:rsidRPr="0002329A">
        <w:rPr>
          <w:rFonts w:cs="Times New Roman"/>
          <w:szCs w:val="24"/>
        </w:rPr>
        <w:t xml:space="preserve">Juño </w:t>
      </w:r>
      <w:proofErr w:type="spellStart"/>
      <w:r w:rsidRPr="0002329A">
        <w:rPr>
          <w:rFonts w:cs="Times New Roman"/>
          <w:szCs w:val="24"/>
        </w:rPr>
        <w:t>Candiotti</w:t>
      </w:r>
      <w:proofErr w:type="spellEnd"/>
      <w:r w:rsidRPr="0002329A">
        <w:rPr>
          <w:rFonts w:cs="Times New Roman"/>
          <w:szCs w:val="24"/>
        </w:rPr>
        <w:t xml:space="preserve">, R. (2021). Factores socioeconómicos y deserción escolar en la institución educativa pública" José María Eguren" De </w:t>
      </w:r>
      <w:proofErr w:type="spellStart"/>
      <w:r w:rsidRPr="0002329A">
        <w:rPr>
          <w:rFonts w:cs="Times New Roman"/>
          <w:szCs w:val="24"/>
        </w:rPr>
        <w:t>Lircayccasa</w:t>
      </w:r>
      <w:proofErr w:type="spellEnd"/>
      <w:r w:rsidRPr="0002329A">
        <w:rPr>
          <w:rFonts w:cs="Times New Roman"/>
          <w:szCs w:val="24"/>
        </w:rPr>
        <w:t xml:space="preserve">, de distrito de </w:t>
      </w:r>
      <w:proofErr w:type="spellStart"/>
      <w:r w:rsidRPr="0002329A">
        <w:rPr>
          <w:rFonts w:cs="Times New Roman"/>
          <w:szCs w:val="24"/>
        </w:rPr>
        <w:t>Congalla</w:t>
      </w:r>
      <w:proofErr w:type="spellEnd"/>
      <w:r w:rsidRPr="0002329A">
        <w:rPr>
          <w:rFonts w:cs="Times New Roman"/>
          <w:szCs w:val="24"/>
        </w:rPr>
        <w:t>-Huancavelica.</w:t>
      </w:r>
    </w:p>
    <w:p w14:paraId="14171060" w14:textId="69D8E0A3" w:rsidR="0002329A" w:rsidRDefault="0002329A" w:rsidP="0002329A">
      <w:pPr>
        <w:widowControl w:val="0"/>
        <w:autoSpaceDE w:val="0"/>
        <w:autoSpaceDN w:val="0"/>
        <w:spacing w:line="480" w:lineRule="auto"/>
        <w:ind w:left="567" w:hanging="567"/>
        <w:rPr>
          <w:rFonts w:cs="Times New Roman"/>
          <w:color w:val="0000FF"/>
          <w:szCs w:val="24"/>
          <w:u w:val="single"/>
        </w:rPr>
      </w:pPr>
      <w:r w:rsidRPr="0002329A">
        <w:rPr>
          <w:rFonts w:cs="Times New Roman"/>
          <w:szCs w:val="24"/>
        </w:rPr>
        <w:t xml:space="preserve">Poveda Velasco, Iván Marcelo. (2019). Los factores que influyen sobre la deserción universitaria. Estudio en la </w:t>
      </w:r>
      <w:proofErr w:type="spellStart"/>
      <w:r w:rsidRPr="0002329A">
        <w:rPr>
          <w:rFonts w:cs="Times New Roman"/>
          <w:szCs w:val="24"/>
        </w:rPr>
        <w:t>UMRPSFXCh</w:t>
      </w:r>
      <w:proofErr w:type="spellEnd"/>
      <w:r w:rsidRPr="0002329A">
        <w:rPr>
          <w:rFonts w:cs="Times New Roman"/>
          <w:szCs w:val="24"/>
        </w:rPr>
        <w:t xml:space="preserve"> - Bolivia, análisis con ecuaciones estructurales. </w:t>
      </w:r>
      <w:r w:rsidRPr="0002329A">
        <w:rPr>
          <w:rFonts w:cs="Times New Roman"/>
          <w:i/>
          <w:iCs/>
          <w:szCs w:val="24"/>
        </w:rPr>
        <w:t>Revista Investigación y Negocios</w:t>
      </w:r>
      <w:r w:rsidRPr="0002329A">
        <w:rPr>
          <w:rFonts w:cs="Times New Roman"/>
          <w:szCs w:val="24"/>
        </w:rPr>
        <w:t>, 12(20), 63-80.</w:t>
      </w:r>
      <w:r w:rsidRPr="0002329A">
        <w:t xml:space="preserve"> </w:t>
      </w:r>
      <w:r w:rsidRPr="0002329A">
        <w:rPr>
          <w:rFonts w:cs="Times New Roman"/>
          <w:color w:val="0000FF"/>
          <w:szCs w:val="24"/>
          <w:u w:val="single"/>
        </w:rPr>
        <w:t>http://www.scielo.org.bo/scielo.php?script=sci_arttext&amp;pid=S2521- 27372019000200007&amp;lng=</w:t>
      </w:r>
      <w:proofErr w:type="spellStart"/>
      <w:r w:rsidRPr="0002329A">
        <w:rPr>
          <w:rFonts w:cs="Times New Roman"/>
          <w:color w:val="0000FF"/>
          <w:szCs w:val="24"/>
          <w:u w:val="single"/>
        </w:rPr>
        <w:t>es&amp;tlng</w:t>
      </w:r>
      <w:proofErr w:type="spellEnd"/>
      <w:r w:rsidRPr="0002329A">
        <w:rPr>
          <w:rFonts w:cs="Times New Roman"/>
          <w:color w:val="0000FF"/>
          <w:szCs w:val="24"/>
          <w:u w:val="single"/>
        </w:rPr>
        <w:t>=es</w:t>
      </w:r>
    </w:p>
    <w:p w14:paraId="402EBB96" w14:textId="77777777" w:rsidR="0002329A" w:rsidRDefault="0002329A" w:rsidP="0002329A">
      <w:pPr>
        <w:widowControl w:val="0"/>
        <w:autoSpaceDE w:val="0"/>
        <w:autoSpaceDN w:val="0"/>
        <w:spacing w:line="480" w:lineRule="auto"/>
        <w:ind w:left="567" w:hanging="567"/>
        <w:rPr>
          <w:rFonts w:cs="Times New Roman"/>
          <w:b/>
          <w:bCs/>
          <w:szCs w:val="24"/>
        </w:rPr>
      </w:pPr>
    </w:p>
    <w:p w14:paraId="57248502" w14:textId="1F9D5D44" w:rsidR="0002329A" w:rsidRPr="0002329A" w:rsidRDefault="0002329A" w:rsidP="0002329A">
      <w:pPr>
        <w:widowControl w:val="0"/>
        <w:autoSpaceDE w:val="0"/>
        <w:autoSpaceDN w:val="0"/>
        <w:spacing w:line="480" w:lineRule="auto"/>
        <w:ind w:left="567" w:hanging="567"/>
        <w:rPr>
          <w:rFonts w:cs="Times New Roman"/>
          <w:szCs w:val="24"/>
        </w:rPr>
      </w:pPr>
      <w:r w:rsidRPr="0002329A">
        <w:rPr>
          <w:rFonts w:cs="Times New Roman"/>
          <w:szCs w:val="24"/>
        </w:rPr>
        <w:lastRenderedPageBreak/>
        <w:t xml:space="preserve">Ruiz Palacios, M. A. (2018). Factores que influyen en la deserción de los alumnos del primer ciclo de educación a distancia en la Escuela de Administración de la Universidad Señor de Sipán: Períodos académicos 2011-1 al 2013-1: </w:t>
      </w:r>
      <w:r w:rsidRPr="0002329A">
        <w:rPr>
          <w:rFonts w:cs="Times New Roman"/>
          <w:i/>
          <w:iCs/>
          <w:szCs w:val="24"/>
        </w:rPr>
        <w:t>lineamientos para disminuir la deserción. Educación</w:t>
      </w:r>
      <w:r w:rsidRPr="0002329A">
        <w:rPr>
          <w:rFonts w:cs="Times New Roman"/>
          <w:szCs w:val="24"/>
        </w:rPr>
        <w:t>, 27(52), 160-173.</w:t>
      </w:r>
    </w:p>
    <w:p w14:paraId="0BE20E23" w14:textId="2D91166F" w:rsidR="0002329A" w:rsidRPr="0002329A" w:rsidRDefault="0002329A" w:rsidP="0002329A">
      <w:pPr>
        <w:widowControl w:val="0"/>
        <w:autoSpaceDE w:val="0"/>
        <w:autoSpaceDN w:val="0"/>
        <w:spacing w:line="480" w:lineRule="auto"/>
        <w:ind w:left="567" w:hanging="567"/>
        <w:rPr>
          <w:rFonts w:cs="Times New Roman"/>
          <w:szCs w:val="24"/>
        </w:rPr>
      </w:pPr>
      <w:proofErr w:type="spellStart"/>
      <w:r w:rsidRPr="0002329A">
        <w:rPr>
          <w:rFonts w:cs="Times New Roman"/>
          <w:szCs w:val="24"/>
        </w:rPr>
        <w:t>Smulders</w:t>
      </w:r>
      <w:proofErr w:type="spellEnd"/>
      <w:r w:rsidRPr="0002329A">
        <w:rPr>
          <w:rFonts w:cs="Times New Roman"/>
          <w:szCs w:val="24"/>
        </w:rPr>
        <w:t xml:space="preserve"> C. M. (2018). Factores que influyen en la deserción de los Estudiantes Universitarios. Academia (Asunción), 5 (2), 127- 132. </w:t>
      </w:r>
      <w:hyperlink r:id="rId10" w:history="1">
        <w:r w:rsidRPr="0002329A">
          <w:rPr>
            <w:rStyle w:val="Hipervnculo"/>
            <w:rFonts w:cs="Times New Roman"/>
            <w:szCs w:val="24"/>
          </w:rPr>
          <w:t>https://doi.org/10.30545/academo.2018.jul-dic.5</w:t>
        </w:r>
      </w:hyperlink>
    </w:p>
    <w:p w14:paraId="3D21E4CC" w14:textId="77777777" w:rsidR="0002329A" w:rsidRDefault="0002329A" w:rsidP="0002329A">
      <w:pPr>
        <w:widowControl w:val="0"/>
        <w:autoSpaceDE w:val="0"/>
        <w:autoSpaceDN w:val="0"/>
        <w:spacing w:line="480" w:lineRule="auto"/>
        <w:ind w:left="567" w:hanging="567"/>
        <w:rPr>
          <w:rFonts w:cs="Times New Roman"/>
          <w:b/>
          <w:bCs/>
          <w:szCs w:val="24"/>
        </w:rPr>
      </w:pPr>
    </w:p>
    <w:sectPr w:rsidR="0002329A" w:rsidSect="00D05FAA">
      <w:footerReference w:type="default" r:id="rId11"/>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F4D7" w14:textId="77777777" w:rsidR="00CA5B23" w:rsidRDefault="00CA5B23" w:rsidP="007F59AF">
      <w:pPr>
        <w:spacing w:line="240" w:lineRule="auto"/>
      </w:pPr>
      <w:r>
        <w:separator/>
      </w:r>
    </w:p>
  </w:endnote>
  <w:endnote w:type="continuationSeparator" w:id="0">
    <w:p w14:paraId="5DC3B471" w14:textId="77777777" w:rsidR="00CA5B23" w:rsidRDefault="00CA5B23"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EndPr/>
    <w:sdtContent>
      <w:p w14:paraId="0A18B344" w14:textId="10B67F24" w:rsidR="000B5AA7" w:rsidRDefault="000B5AA7">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0B5AA7" w:rsidRDefault="000B5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17F0" w14:textId="77777777" w:rsidR="00CA5B23" w:rsidRDefault="00CA5B23" w:rsidP="007F59AF">
      <w:pPr>
        <w:spacing w:line="240" w:lineRule="auto"/>
      </w:pPr>
      <w:r>
        <w:separator/>
      </w:r>
    </w:p>
  </w:footnote>
  <w:footnote w:type="continuationSeparator" w:id="0">
    <w:p w14:paraId="3ADAD2CE" w14:textId="77777777" w:rsidR="00CA5B23" w:rsidRDefault="00CA5B23"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84B"/>
    <w:multiLevelType w:val="multilevel"/>
    <w:tmpl w:val="78AC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9753A"/>
    <w:multiLevelType w:val="multilevel"/>
    <w:tmpl w:val="1C86954C"/>
    <w:lvl w:ilvl="0">
      <w:start w:val="1"/>
      <w:numFmt w:val="upperRoman"/>
      <w:lvlText w:val="%1."/>
      <w:lvlJc w:val="left"/>
      <w:pPr>
        <w:ind w:left="6107" w:hanging="72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4237" w:hanging="720"/>
      </w:pPr>
      <w:rPr>
        <w:rFonts w:hint="default"/>
        <w:b/>
        <w:bCs/>
        <w:i/>
        <w:iCs/>
      </w:rPr>
    </w:lvl>
    <w:lvl w:ilvl="3">
      <w:start w:val="1"/>
      <w:numFmt w:val="decimal"/>
      <w:isLgl/>
      <w:lvlText w:val="%1.%2.%3.%4."/>
      <w:lvlJc w:val="left"/>
      <w:pPr>
        <w:ind w:left="5915"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9631" w:hanging="1080"/>
      </w:pPr>
      <w:rPr>
        <w:rFonts w:hint="default"/>
      </w:rPr>
    </w:lvl>
    <w:lvl w:ilvl="6">
      <w:start w:val="1"/>
      <w:numFmt w:val="decimal"/>
      <w:isLgl/>
      <w:lvlText w:val="%1.%2.%3.%4.%5.%6.%7."/>
      <w:lvlJc w:val="left"/>
      <w:pPr>
        <w:ind w:left="11669"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85" w:hanging="1800"/>
      </w:pPr>
      <w:rPr>
        <w:rFonts w:hint="default"/>
      </w:rPr>
    </w:lvl>
  </w:abstractNum>
  <w:abstractNum w:abstractNumId="2" w15:restartNumberingAfterBreak="0">
    <w:nsid w:val="048165E3"/>
    <w:multiLevelType w:val="multilevel"/>
    <w:tmpl w:val="170C9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4BB1"/>
    <w:multiLevelType w:val="hybridMultilevel"/>
    <w:tmpl w:val="F6666386"/>
    <w:lvl w:ilvl="0" w:tplc="8E10A544">
      <w:start w:val="1"/>
      <w:numFmt w:val="lowerLetter"/>
      <w:lvlText w:val="%1."/>
      <w:lvlJc w:val="left"/>
      <w:pPr>
        <w:ind w:left="426" w:hanging="360"/>
      </w:pPr>
      <w:rPr>
        <w:rFonts w:hint="default"/>
        <w:b w:val="0"/>
        <w:bCs/>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4" w15:restartNumberingAfterBreak="0">
    <w:nsid w:val="0FB82648"/>
    <w:multiLevelType w:val="hybridMultilevel"/>
    <w:tmpl w:val="C2F827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2A03B42"/>
    <w:multiLevelType w:val="hybridMultilevel"/>
    <w:tmpl w:val="5D948B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15:restartNumberingAfterBreak="0">
    <w:nsid w:val="12ED403C"/>
    <w:multiLevelType w:val="hybridMultilevel"/>
    <w:tmpl w:val="E7F4259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3E60AA2"/>
    <w:multiLevelType w:val="multilevel"/>
    <w:tmpl w:val="192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E4A18"/>
    <w:multiLevelType w:val="hybridMultilevel"/>
    <w:tmpl w:val="32F429CA"/>
    <w:lvl w:ilvl="0" w:tplc="78DC36EC">
      <w:start w:val="1"/>
      <w:numFmt w:val="lowerLetter"/>
      <w:lvlText w:val="%1."/>
      <w:lvlJc w:val="left"/>
      <w:pPr>
        <w:ind w:left="272" w:hanging="360"/>
      </w:pPr>
      <w:rPr>
        <w:rFonts w:hint="default"/>
        <w:b w:val="0"/>
        <w:bCs/>
      </w:rPr>
    </w:lvl>
    <w:lvl w:ilvl="1" w:tplc="280A0019" w:tentative="1">
      <w:start w:val="1"/>
      <w:numFmt w:val="lowerLetter"/>
      <w:lvlText w:val="%2."/>
      <w:lvlJc w:val="left"/>
      <w:pPr>
        <w:ind w:left="992" w:hanging="360"/>
      </w:pPr>
    </w:lvl>
    <w:lvl w:ilvl="2" w:tplc="280A001B" w:tentative="1">
      <w:start w:val="1"/>
      <w:numFmt w:val="lowerRoman"/>
      <w:lvlText w:val="%3."/>
      <w:lvlJc w:val="right"/>
      <w:pPr>
        <w:ind w:left="1712" w:hanging="180"/>
      </w:pPr>
    </w:lvl>
    <w:lvl w:ilvl="3" w:tplc="280A000F" w:tentative="1">
      <w:start w:val="1"/>
      <w:numFmt w:val="decimal"/>
      <w:lvlText w:val="%4."/>
      <w:lvlJc w:val="left"/>
      <w:pPr>
        <w:ind w:left="2432" w:hanging="360"/>
      </w:pPr>
    </w:lvl>
    <w:lvl w:ilvl="4" w:tplc="280A0019" w:tentative="1">
      <w:start w:val="1"/>
      <w:numFmt w:val="lowerLetter"/>
      <w:lvlText w:val="%5."/>
      <w:lvlJc w:val="left"/>
      <w:pPr>
        <w:ind w:left="3152" w:hanging="360"/>
      </w:pPr>
    </w:lvl>
    <w:lvl w:ilvl="5" w:tplc="280A001B" w:tentative="1">
      <w:start w:val="1"/>
      <w:numFmt w:val="lowerRoman"/>
      <w:lvlText w:val="%6."/>
      <w:lvlJc w:val="right"/>
      <w:pPr>
        <w:ind w:left="3872" w:hanging="180"/>
      </w:pPr>
    </w:lvl>
    <w:lvl w:ilvl="6" w:tplc="280A000F" w:tentative="1">
      <w:start w:val="1"/>
      <w:numFmt w:val="decimal"/>
      <w:lvlText w:val="%7."/>
      <w:lvlJc w:val="left"/>
      <w:pPr>
        <w:ind w:left="4592" w:hanging="360"/>
      </w:pPr>
    </w:lvl>
    <w:lvl w:ilvl="7" w:tplc="280A0019" w:tentative="1">
      <w:start w:val="1"/>
      <w:numFmt w:val="lowerLetter"/>
      <w:lvlText w:val="%8."/>
      <w:lvlJc w:val="left"/>
      <w:pPr>
        <w:ind w:left="5312" w:hanging="360"/>
      </w:pPr>
    </w:lvl>
    <w:lvl w:ilvl="8" w:tplc="280A001B" w:tentative="1">
      <w:start w:val="1"/>
      <w:numFmt w:val="lowerRoman"/>
      <w:lvlText w:val="%9."/>
      <w:lvlJc w:val="right"/>
      <w:pPr>
        <w:ind w:left="6032" w:hanging="180"/>
      </w:pPr>
    </w:lvl>
  </w:abstractNum>
  <w:abstractNum w:abstractNumId="9" w15:restartNumberingAfterBreak="0">
    <w:nsid w:val="16C652BA"/>
    <w:multiLevelType w:val="hybridMultilevel"/>
    <w:tmpl w:val="ECA6437E"/>
    <w:lvl w:ilvl="0" w:tplc="28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A670FC2"/>
    <w:multiLevelType w:val="hybridMultilevel"/>
    <w:tmpl w:val="4F6C6AC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1" w15:restartNumberingAfterBreak="0">
    <w:nsid w:val="1AE87C96"/>
    <w:multiLevelType w:val="multilevel"/>
    <w:tmpl w:val="CB8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B4669"/>
    <w:multiLevelType w:val="hybridMultilevel"/>
    <w:tmpl w:val="D1924C8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1E136675"/>
    <w:multiLevelType w:val="multilevel"/>
    <w:tmpl w:val="D088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C4F65"/>
    <w:multiLevelType w:val="hybridMultilevel"/>
    <w:tmpl w:val="249CCA20"/>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1130AF2"/>
    <w:multiLevelType w:val="hybridMultilevel"/>
    <w:tmpl w:val="2E4EBE3E"/>
    <w:lvl w:ilvl="0" w:tplc="8BA0248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2CE689F"/>
    <w:multiLevelType w:val="hybridMultilevel"/>
    <w:tmpl w:val="A0E4D5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3D716A8"/>
    <w:multiLevelType w:val="multilevel"/>
    <w:tmpl w:val="99D2A2F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DC467F"/>
    <w:multiLevelType w:val="hybridMultilevel"/>
    <w:tmpl w:val="5510A7E8"/>
    <w:lvl w:ilvl="0" w:tplc="280A0001">
      <w:start w:val="1"/>
      <w:numFmt w:val="bullet"/>
      <w:lvlText w:val=""/>
      <w:lvlJc w:val="left"/>
      <w:pPr>
        <w:ind w:left="720" w:hanging="360"/>
      </w:pPr>
      <w:rPr>
        <w:rFonts w:ascii="Symbol" w:hAnsi="Symbol" w:hint="default"/>
      </w:rPr>
    </w:lvl>
    <w:lvl w:ilvl="1" w:tplc="280A000F">
      <w:start w:val="1"/>
      <w:numFmt w:val="decimal"/>
      <w:lvlText w:val="%2."/>
      <w:lvlJc w:val="left"/>
      <w:pPr>
        <w:ind w:left="1440" w:hanging="360"/>
      </w:pPr>
      <w:rPr>
        <w:rFont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15:restartNumberingAfterBreak="0">
    <w:nsid w:val="2E720C3B"/>
    <w:multiLevelType w:val="multilevel"/>
    <w:tmpl w:val="B63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10F86"/>
    <w:multiLevelType w:val="multilevel"/>
    <w:tmpl w:val="669A8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24C8F"/>
    <w:multiLevelType w:val="multilevel"/>
    <w:tmpl w:val="90D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B3EB8"/>
    <w:multiLevelType w:val="multilevel"/>
    <w:tmpl w:val="CED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354B1"/>
    <w:multiLevelType w:val="multilevel"/>
    <w:tmpl w:val="7FE61C94"/>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F5F67A5"/>
    <w:multiLevelType w:val="multilevel"/>
    <w:tmpl w:val="E3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F453B"/>
    <w:multiLevelType w:val="multilevel"/>
    <w:tmpl w:val="536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283522"/>
    <w:multiLevelType w:val="multilevel"/>
    <w:tmpl w:val="264C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D923B4"/>
    <w:multiLevelType w:val="hybridMultilevel"/>
    <w:tmpl w:val="17128412"/>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49556D1"/>
    <w:multiLevelType w:val="multilevel"/>
    <w:tmpl w:val="AB7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E4AD3"/>
    <w:multiLevelType w:val="hybridMultilevel"/>
    <w:tmpl w:val="DF964258"/>
    <w:lvl w:ilvl="0" w:tplc="B948B930">
      <w:start w:val="1"/>
      <w:numFmt w:val="decimal"/>
      <w:lvlText w:val="%1"/>
      <w:lvlJc w:val="left"/>
      <w:pPr>
        <w:ind w:left="1429" w:hanging="360"/>
      </w:pPr>
      <w:rPr>
        <w:rFonts w:ascii="Times New Roman" w:eastAsia="Arial" w:hAnsi="Times New Roman" w:cs="Arial"/>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 w15:restartNumberingAfterBreak="0">
    <w:nsid w:val="4BC459CB"/>
    <w:multiLevelType w:val="multilevel"/>
    <w:tmpl w:val="088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73E8D"/>
    <w:multiLevelType w:val="hybridMultilevel"/>
    <w:tmpl w:val="BA88A15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3" w15:restartNumberingAfterBreak="0">
    <w:nsid w:val="5D2B0D25"/>
    <w:multiLevelType w:val="hybridMultilevel"/>
    <w:tmpl w:val="FEDE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8C66EC"/>
    <w:multiLevelType w:val="hybridMultilevel"/>
    <w:tmpl w:val="775A1F1E"/>
    <w:lvl w:ilvl="0" w:tplc="0BBA4B30">
      <w:start w:val="1"/>
      <w:numFmt w:val="lowerLetter"/>
      <w:lvlText w:val="%1."/>
      <w:lvlJc w:val="left"/>
      <w:pPr>
        <w:ind w:left="403" w:hanging="360"/>
      </w:pPr>
      <w:rPr>
        <w:rFonts w:hint="default"/>
        <w:b w:val="0"/>
        <w:bCs/>
      </w:rPr>
    </w:lvl>
    <w:lvl w:ilvl="1" w:tplc="280A0019" w:tentative="1">
      <w:start w:val="1"/>
      <w:numFmt w:val="lowerLetter"/>
      <w:lvlText w:val="%2."/>
      <w:lvlJc w:val="left"/>
      <w:pPr>
        <w:ind w:left="1123" w:hanging="360"/>
      </w:pPr>
    </w:lvl>
    <w:lvl w:ilvl="2" w:tplc="280A001B" w:tentative="1">
      <w:start w:val="1"/>
      <w:numFmt w:val="lowerRoman"/>
      <w:lvlText w:val="%3."/>
      <w:lvlJc w:val="right"/>
      <w:pPr>
        <w:ind w:left="1843" w:hanging="180"/>
      </w:pPr>
    </w:lvl>
    <w:lvl w:ilvl="3" w:tplc="280A000F" w:tentative="1">
      <w:start w:val="1"/>
      <w:numFmt w:val="decimal"/>
      <w:lvlText w:val="%4."/>
      <w:lvlJc w:val="left"/>
      <w:pPr>
        <w:ind w:left="2563" w:hanging="360"/>
      </w:pPr>
    </w:lvl>
    <w:lvl w:ilvl="4" w:tplc="280A0019" w:tentative="1">
      <w:start w:val="1"/>
      <w:numFmt w:val="lowerLetter"/>
      <w:lvlText w:val="%5."/>
      <w:lvlJc w:val="left"/>
      <w:pPr>
        <w:ind w:left="3283" w:hanging="360"/>
      </w:pPr>
    </w:lvl>
    <w:lvl w:ilvl="5" w:tplc="280A001B" w:tentative="1">
      <w:start w:val="1"/>
      <w:numFmt w:val="lowerRoman"/>
      <w:lvlText w:val="%6."/>
      <w:lvlJc w:val="right"/>
      <w:pPr>
        <w:ind w:left="4003" w:hanging="180"/>
      </w:pPr>
    </w:lvl>
    <w:lvl w:ilvl="6" w:tplc="280A000F" w:tentative="1">
      <w:start w:val="1"/>
      <w:numFmt w:val="decimal"/>
      <w:lvlText w:val="%7."/>
      <w:lvlJc w:val="left"/>
      <w:pPr>
        <w:ind w:left="4723" w:hanging="360"/>
      </w:pPr>
    </w:lvl>
    <w:lvl w:ilvl="7" w:tplc="280A0019" w:tentative="1">
      <w:start w:val="1"/>
      <w:numFmt w:val="lowerLetter"/>
      <w:lvlText w:val="%8."/>
      <w:lvlJc w:val="left"/>
      <w:pPr>
        <w:ind w:left="5443" w:hanging="360"/>
      </w:pPr>
    </w:lvl>
    <w:lvl w:ilvl="8" w:tplc="280A001B" w:tentative="1">
      <w:start w:val="1"/>
      <w:numFmt w:val="lowerRoman"/>
      <w:lvlText w:val="%9."/>
      <w:lvlJc w:val="right"/>
      <w:pPr>
        <w:ind w:left="6163" w:hanging="180"/>
      </w:pPr>
    </w:lvl>
  </w:abstractNum>
  <w:abstractNum w:abstractNumId="35" w15:restartNumberingAfterBreak="0">
    <w:nsid w:val="655B2FEC"/>
    <w:multiLevelType w:val="multilevel"/>
    <w:tmpl w:val="5BD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45505"/>
    <w:multiLevelType w:val="hybridMultilevel"/>
    <w:tmpl w:val="ADD2DDF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6E74397C"/>
    <w:multiLevelType w:val="hybridMultilevel"/>
    <w:tmpl w:val="C1BA7B8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0D725C7"/>
    <w:multiLevelType w:val="multilevel"/>
    <w:tmpl w:val="D100A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BC10E6"/>
    <w:multiLevelType w:val="multilevel"/>
    <w:tmpl w:val="17D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F0C14"/>
    <w:multiLevelType w:val="multilevel"/>
    <w:tmpl w:val="3CD8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1D1CBD"/>
    <w:multiLevelType w:val="multilevel"/>
    <w:tmpl w:val="64C8E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906C59"/>
    <w:multiLevelType w:val="multilevel"/>
    <w:tmpl w:val="CBF89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C44943"/>
    <w:multiLevelType w:val="multilevel"/>
    <w:tmpl w:val="AAB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8"/>
  </w:num>
  <w:num w:numId="4">
    <w:abstractNumId w:val="34"/>
  </w:num>
  <w:num w:numId="5">
    <w:abstractNumId w:val="8"/>
  </w:num>
  <w:num w:numId="6">
    <w:abstractNumId w:val="3"/>
  </w:num>
  <w:num w:numId="7">
    <w:abstractNumId w:val="18"/>
  </w:num>
  <w:num w:numId="8">
    <w:abstractNumId w:val="10"/>
  </w:num>
  <w:num w:numId="9">
    <w:abstractNumId w:val="16"/>
  </w:num>
  <w:num w:numId="10">
    <w:abstractNumId w:val="36"/>
  </w:num>
  <w:num w:numId="11">
    <w:abstractNumId w:val="30"/>
  </w:num>
  <w:num w:numId="12">
    <w:abstractNumId w:val="19"/>
  </w:num>
  <w:num w:numId="13">
    <w:abstractNumId w:val="17"/>
  </w:num>
  <w:num w:numId="14">
    <w:abstractNumId w:val="35"/>
  </w:num>
  <w:num w:numId="15">
    <w:abstractNumId w:val="41"/>
  </w:num>
  <w:num w:numId="16">
    <w:abstractNumId w:val="14"/>
  </w:num>
  <w:num w:numId="17">
    <w:abstractNumId w:val="24"/>
  </w:num>
  <w:num w:numId="18">
    <w:abstractNumId w:val="42"/>
  </w:num>
  <w:num w:numId="19">
    <w:abstractNumId w:val="13"/>
  </w:num>
  <w:num w:numId="20">
    <w:abstractNumId w:val="31"/>
  </w:num>
  <w:num w:numId="21">
    <w:abstractNumId w:val="20"/>
  </w:num>
  <w:num w:numId="22">
    <w:abstractNumId w:val="22"/>
  </w:num>
  <w:num w:numId="23">
    <w:abstractNumId w:val="39"/>
  </w:num>
  <w:num w:numId="24">
    <w:abstractNumId w:val="37"/>
  </w:num>
  <w:num w:numId="25">
    <w:abstractNumId w:val="15"/>
  </w:num>
  <w:num w:numId="26">
    <w:abstractNumId w:val="12"/>
  </w:num>
  <w:num w:numId="27">
    <w:abstractNumId w:val="32"/>
  </w:num>
  <w:num w:numId="28">
    <w:abstractNumId w:val="6"/>
  </w:num>
  <w:num w:numId="29">
    <w:abstractNumId w:val="4"/>
  </w:num>
  <w:num w:numId="30">
    <w:abstractNumId w:val="5"/>
  </w:num>
  <w:num w:numId="31">
    <w:abstractNumId w:val="33"/>
  </w:num>
  <w:num w:numId="32">
    <w:abstractNumId w:val="40"/>
  </w:num>
  <w:num w:numId="33">
    <w:abstractNumId w:val="0"/>
  </w:num>
  <w:num w:numId="34">
    <w:abstractNumId w:val="21"/>
  </w:num>
  <w:num w:numId="35">
    <w:abstractNumId w:val="2"/>
  </w:num>
  <w:num w:numId="36">
    <w:abstractNumId w:val="9"/>
  </w:num>
  <w:num w:numId="37">
    <w:abstractNumId w:val="11"/>
  </w:num>
  <w:num w:numId="38">
    <w:abstractNumId w:val="7"/>
  </w:num>
  <w:num w:numId="39">
    <w:abstractNumId w:val="29"/>
  </w:num>
  <w:num w:numId="40">
    <w:abstractNumId w:val="43"/>
  </w:num>
  <w:num w:numId="41">
    <w:abstractNumId w:val="25"/>
  </w:num>
  <w:num w:numId="42">
    <w:abstractNumId w:val="27"/>
  </w:num>
  <w:num w:numId="43">
    <w:abstractNumId w:val="26"/>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2329A"/>
    <w:rsid w:val="000B5AA7"/>
    <w:rsid w:val="00101D2A"/>
    <w:rsid w:val="00127E37"/>
    <w:rsid w:val="00143F7C"/>
    <w:rsid w:val="00164775"/>
    <w:rsid w:val="00200004"/>
    <w:rsid w:val="00211E39"/>
    <w:rsid w:val="00221EE9"/>
    <w:rsid w:val="002A7586"/>
    <w:rsid w:val="002D606C"/>
    <w:rsid w:val="002F3ECF"/>
    <w:rsid w:val="003073E5"/>
    <w:rsid w:val="00382DA5"/>
    <w:rsid w:val="00392F41"/>
    <w:rsid w:val="003B6A69"/>
    <w:rsid w:val="003E08AB"/>
    <w:rsid w:val="003F28B9"/>
    <w:rsid w:val="0040082C"/>
    <w:rsid w:val="00431108"/>
    <w:rsid w:val="00463F8F"/>
    <w:rsid w:val="00506780"/>
    <w:rsid w:val="00530A8F"/>
    <w:rsid w:val="00567D28"/>
    <w:rsid w:val="0059230D"/>
    <w:rsid w:val="006121D2"/>
    <w:rsid w:val="00613593"/>
    <w:rsid w:val="006464DA"/>
    <w:rsid w:val="00665243"/>
    <w:rsid w:val="00680D71"/>
    <w:rsid w:val="006F30C5"/>
    <w:rsid w:val="0070798B"/>
    <w:rsid w:val="00721920"/>
    <w:rsid w:val="0077313F"/>
    <w:rsid w:val="0079562A"/>
    <w:rsid w:val="007E24DF"/>
    <w:rsid w:val="007F2702"/>
    <w:rsid w:val="007F59AF"/>
    <w:rsid w:val="00821BAF"/>
    <w:rsid w:val="00826422"/>
    <w:rsid w:val="00832464"/>
    <w:rsid w:val="008C75C6"/>
    <w:rsid w:val="008E02B5"/>
    <w:rsid w:val="00900F50"/>
    <w:rsid w:val="009210B2"/>
    <w:rsid w:val="00947B7F"/>
    <w:rsid w:val="00957BC4"/>
    <w:rsid w:val="00980455"/>
    <w:rsid w:val="00996D0F"/>
    <w:rsid w:val="00B12790"/>
    <w:rsid w:val="00B15060"/>
    <w:rsid w:val="00B23013"/>
    <w:rsid w:val="00BE0B25"/>
    <w:rsid w:val="00BF5831"/>
    <w:rsid w:val="00C02CB7"/>
    <w:rsid w:val="00C10222"/>
    <w:rsid w:val="00C1166F"/>
    <w:rsid w:val="00C1312D"/>
    <w:rsid w:val="00C35D18"/>
    <w:rsid w:val="00C50A66"/>
    <w:rsid w:val="00C9268F"/>
    <w:rsid w:val="00C9675B"/>
    <w:rsid w:val="00CA5B23"/>
    <w:rsid w:val="00CB6107"/>
    <w:rsid w:val="00CF4DA7"/>
    <w:rsid w:val="00D05FAA"/>
    <w:rsid w:val="00D338F4"/>
    <w:rsid w:val="00D82091"/>
    <w:rsid w:val="00D84CE8"/>
    <w:rsid w:val="00D86912"/>
    <w:rsid w:val="00D8797B"/>
    <w:rsid w:val="00DB1DB8"/>
    <w:rsid w:val="00DB6CD8"/>
    <w:rsid w:val="00DC73DF"/>
    <w:rsid w:val="00DE15EC"/>
    <w:rsid w:val="00DE6DAA"/>
    <w:rsid w:val="00E617E9"/>
    <w:rsid w:val="00E62045"/>
    <w:rsid w:val="00F07300"/>
    <w:rsid w:val="00F148EC"/>
    <w:rsid w:val="00F47BC5"/>
    <w:rsid w:val="00F60A18"/>
    <w:rsid w:val="00F91108"/>
    <w:rsid w:val="00F9755A"/>
    <w:rsid w:val="00FA523C"/>
    <w:rsid w:val="00FC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37"/>
    <w:pPr>
      <w:spacing w:after="0" w:line="36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2"/>
      </w:numPr>
      <w:autoSpaceDE w:val="0"/>
      <w:autoSpaceDN w:val="0"/>
      <w:spacing w:before="97" w:line="480" w:lineRule="auto"/>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2"/>
      </w:numPr>
      <w:autoSpaceDE w:val="0"/>
      <w:autoSpaceDN w:val="0"/>
      <w:spacing w:line="480" w:lineRule="auto"/>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2"/>
      </w:numPr>
      <w:autoSpaceDE w:val="0"/>
      <w:autoSpaceDN w:val="0"/>
      <w:spacing w:before="40" w:line="480" w:lineRule="auto"/>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2"/>
      </w:numPr>
      <w:autoSpaceDE w:val="0"/>
      <w:autoSpaceDN w:val="0"/>
      <w:spacing w:line="480" w:lineRule="auto"/>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2"/>
      </w:numPr>
      <w:autoSpaceDE w:val="0"/>
      <w:autoSpaceDN w:val="0"/>
      <w:spacing w:line="480" w:lineRule="auto"/>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2"/>
      </w:numPr>
      <w:autoSpaceDE w:val="0"/>
      <w:autoSpaceDN w:val="0"/>
      <w:spacing w:line="480" w:lineRule="auto"/>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2"/>
      </w:numPr>
      <w:autoSpaceDE w:val="0"/>
      <w:autoSpaceDN w:val="0"/>
      <w:spacing w:before="40" w:line="480" w:lineRule="auto"/>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2"/>
      </w:numPr>
      <w:autoSpaceDE w:val="0"/>
      <w:autoSpaceDN w:val="0"/>
      <w:spacing w:line="480" w:lineRule="auto"/>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2"/>
      </w:numPr>
      <w:autoSpaceDE w:val="0"/>
      <w:autoSpaceDN w:val="0"/>
      <w:spacing w:line="480" w:lineRule="auto"/>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spacing w:line="480" w:lineRule="auto"/>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spacing w:line="480" w:lineRule="auto"/>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spacing w:line="480" w:lineRule="auto"/>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line="480" w:lineRule="auto"/>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spacing w:line="480" w:lineRule="auto"/>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spacing w:line="480" w:lineRule="auto"/>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spacing w:line="480" w:lineRule="auto"/>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spacing w:line="480" w:lineRule="auto"/>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line="480" w:lineRule="auto"/>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spacing w:line="480" w:lineRule="auto"/>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spacing w:line="480" w:lineRule="auto"/>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spacing w:line="480" w:lineRule="auto"/>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spacing w:line="480" w:lineRule="auto"/>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spacing w:line="480" w:lineRule="auto"/>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spacing w:line="480" w:lineRule="auto"/>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line="480" w:lineRule="auto"/>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line="480" w:lineRule="auto"/>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spacing w:line="480" w:lineRule="auto"/>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5359/ru.34-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0545/academo.2018.jul-dic.5" TargetMode="External"/><Relationship Id="rId4" Type="http://schemas.openxmlformats.org/officeDocument/2006/relationships/settings" Target="settings.xml"/><Relationship Id="rId9" Type="http://schemas.openxmlformats.org/officeDocument/2006/relationships/hyperlink" Target="https://doi.org/10.33996/revistahorizontes.v5i18.1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ED20-3053-498D-9B68-6ACD0CB0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2920</Words>
  <Characters>16063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2</cp:revision>
  <cp:lastPrinted>2025-03-06T16:39:00Z</cp:lastPrinted>
  <dcterms:created xsi:type="dcterms:W3CDTF">2025-05-07T04:31:00Z</dcterms:created>
  <dcterms:modified xsi:type="dcterms:W3CDTF">2025-05-07T04:31:00Z</dcterms:modified>
</cp:coreProperties>
</file>