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16" w:rsidRDefault="00D24A16" w:rsidP="00CD2D5C">
      <w:pPr>
        <w:ind w:firstLine="0"/>
        <w:jc w:val="center"/>
        <w:rPr>
          <w:rFonts w:eastAsia="Times New Roman" w:cs="Times New Roman"/>
          <w:b/>
          <w:color w:val="auto"/>
          <w:szCs w:val="24"/>
          <w:lang w:val="es-ES"/>
        </w:rPr>
      </w:pPr>
      <w:bookmarkStart w:id="0" w:name="_Hlk220006232"/>
      <w:bookmarkStart w:id="1" w:name="_GoBack"/>
      <w:bookmarkEnd w:id="0"/>
      <w:bookmarkEnd w:id="1"/>
      <w:r w:rsidRPr="00D24A16">
        <w:rPr>
          <w:rFonts w:eastAsia="Times New Roman" w:cs="Times New Roman"/>
          <w:b/>
          <w:color w:val="auto"/>
          <w:szCs w:val="24"/>
          <w:lang w:val="es-ES"/>
        </w:rPr>
        <w:t xml:space="preserve">IMPACTO EN LA SALUD PÚBLICA DEL NIVEL DE CONOCIMIENTO Y LA PREVENCIÓN DEL DENGUE EN UNA I.E. DE GAMBETA  2025 </w:t>
      </w:r>
    </w:p>
    <w:p w:rsidR="00D24A16" w:rsidRPr="00CD2D5C" w:rsidRDefault="00D24A16" w:rsidP="00530A8F">
      <w:pPr>
        <w:ind w:firstLine="0"/>
        <w:jc w:val="center"/>
        <w:rPr>
          <w:rFonts w:cs="Times New Roman"/>
          <w:bCs/>
          <w:szCs w:val="24"/>
          <w:lang w:val="en-US"/>
        </w:rPr>
      </w:pPr>
      <w:r w:rsidRPr="00D24A16">
        <w:rPr>
          <w:rFonts w:cs="Times New Roman"/>
          <w:bCs/>
          <w:szCs w:val="24"/>
          <w:lang w:val="en-US"/>
        </w:rPr>
        <w:t>Impact on Public Health of Knowledge Level and Dengue Prevention in a School in Gambeta 2025.</w:t>
      </w:r>
    </w:p>
    <w:p w:rsidR="003F28B9" w:rsidRPr="00CD2D5C" w:rsidRDefault="003F28B9" w:rsidP="00530A8F">
      <w:pPr>
        <w:ind w:firstLine="0"/>
        <w:jc w:val="center"/>
        <w:rPr>
          <w:rFonts w:cs="Times New Roman"/>
          <w:b/>
          <w:bCs/>
          <w:szCs w:val="24"/>
        </w:rPr>
      </w:pPr>
      <w:r w:rsidRPr="00CD2D5C">
        <w:rPr>
          <w:rFonts w:cs="Times New Roman"/>
          <w:b/>
          <w:bCs/>
          <w:szCs w:val="24"/>
        </w:rPr>
        <w:t>Universidad Nacional Federico Villarreal</w:t>
      </w:r>
    </w:p>
    <w:p w:rsidR="00D05FAA" w:rsidRDefault="00D24A16" w:rsidP="00D24A16">
      <w:pPr>
        <w:ind w:firstLine="0"/>
        <w:jc w:val="center"/>
        <w:rPr>
          <w:rFonts w:eastAsia="Calibri" w:cs="Times New Roman"/>
          <w:color w:val="auto"/>
          <w:szCs w:val="24"/>
          <w:lang w:val="es-ES"/>
        </w:rPr>
      </w:pPr>
      <w:r w:rsidRPr="00D24A16">
        <w:rPr>
          <w:rFonts w:eastAsia="Calibri" w:cs="Times New Roman"/>
          <w:color w:val="auto"/>
          <w:szCs w:val="24"/>
          <w:lang w:val="es-ES"/>
        </w:rPr>
        <w:t xml:space="preserve">Luna </w:t>
      </w:r>
      <w:r w:rsidR="0015285D">
        <w:rPr>
          <w:rFonts w:eastAsia="Calibri" w:cs="Times New Roman"/>
          <w:color w:val="auto"/>
          <w:szCs w:val="24"/>
          <w:lang w:val="es-ES"/>
        </w:rPr>
        <w:t>Meji</w:t>
      </w:r>
      <w:r w:rsidRPr="00D24A16">
        <w:rPr>
          <w:rFonts w:eastAsia="Calibri" w:cs="Times New Roman"/>
          <w:color w:val="auto"/>
          <w:szCs w:val="24"/>
          <w:lang w:val="es-ES"/>
        </w:rPr>
        <w:t>a, Cesar Antonio</w:t>
      </w:r>
    </w:p>
    <w:p w:rsidR="00D24A16" w:rsidRPr="00CD2D5C" w:rsidRDefault="00D24A16" w:rsidP="00D05FAA">
      <w:pPr>
        <w:rPr>
          <w:rFonts w:cs="Times New Roman"/>
          <w:b/>
          <w:szCs w:val="24"/>
          <w:lang w:val="es-ES"/>
        </w:rPr>
      </w:pPr>
    </w:p>
    <w:p w:rsidR="003F28B9" w:rsidRPr="00CD2D5C" w:rsidRDefault="003F28B9" w:rsidP="00161A13">
      <w:pPr>
        <w:ind w:firstLine="0"/>
        <w:rPr>
          <w:rFonts w:cs="Times New Roman"/>
          <w:b/>
          <w:szCs w:val="24"/>
        </w:rPr>
      </w:pPr>
      <w:r w:rsidRPr="00CD2D5C">
        <w:rPr>
          <w:rFonts w:cs="Times New Roman"/>
          <w:b/>
          <w:szCs w:val="24"/>
        </w:rPr>
        <w:t>RESUMEN</w:t>
      </w:r>
    </w:p>
    <w:p w:rsidR="00D24A16" w:rsidRPr="00D24A16" w:rsidRDefault="00D24A16" w:rsidP="00161A13">
      <w:pPr>
        <w:spacing w:after="160"/>
        <w:ind w:firstLine="0"/>
        <w:rPr>
          <w:rFonts w:eastAsia="Aptos" w:cs="Times New Roman"/>
          <w:color w:val="auto"/>
        </w:rPr>
      </w:pPr>
      <w:r w:rsidRPr="00D24A16">
        <w:rPr>
          <w:rFonts w:eastAsia="Aptos" w:cs="Times New Roman"/>
          <w:color w:val="auto"/>
        </w:rPr>
        <w:t xml:space="preserve">El estudio tuvo como objetivo determinar la relación entre el nivel de conocimientos y las prácticas preventivas contra el dengue en estudiantes de secundaria de una institución educativa de Gambeta, en el año 2025. </w:t>
      </w:r>
      <w:r w:rsidR="0015285D">
        <w:rPr>
          <w:rFonts w:eastAsia="Aptos" w:cs="Times New Roman"/>
          <w:color w:val="auto"/>
        </w:rPr>
        <w:t xml:space="preserve">Método: fue de tipo aplicada, </w:t>
      </w:r>
      <w:r w:rsidRPr="00D24A16">
        <w:rPr>
          <w:rFonts w:eastAsia="Aptos" w:cs="Times New Roman"/>
          <w:color w:val="auto"/>
        </w:rPr>
        <w:t>diseño no experimental, cuantitativo y de tipo correlacional, aplicado, la investigación se aplicó a una muestra de 348 estudiantes. El instrumento, un cuestionario de elaboración propia, demostró validez mediante juicio de expertos y una confiabilidad alta (Alfa de Cronbach=0.826). Los resultados revelaron una correlación positiva significativa de intensidad moderada (rho=0.427, p&lt;0.01), indicando que, a mayor conocimiento, mejores prácticas preventivas. Sin embargo, se identificó que la mayoría de los estudiantes (57.8%) posee un nivel medio de conocimiento y casi la mitad (46.8%) presenta un nivel bajo en prácticas preventivas, evidenciando una brecha crítica en la aplicación de los conocimientos. Finalmente, no se hallaron diferencias significativas en ninguna variable según el género de los participantes (p&gt;0.05), mostrando una distribución homogénea entre hombres y mujeres.</w:t>
      </w:r>
    </w:p>
    <w:p w:rsidR="00CD2D5C" w:rsidRPr="00D24A16" w:rsidRDefault="00D24A16" w:rsidP="00161A13">
      <w:pPr>
        <w:pStyle w:val="Ttulo2"/>
        <w:numPr>
          <w:ilvl w:val="0"/>
          <w:numId w:val="0"/>
        </w:numPr>
        <w:spacing w:line="360" w:lineRule="auto"/>
        <w:rPr>
          <w:rFonts w:cs="Times New Roman"/>
          <w:lang w:val="es-PE"/>
        </w:rPr>
      </w:pPr>
      <w:r w:rsidRPr="00D24A16">
        <w:rPr>
          <w:rFonts w:eastAsia="Aptos" w:cs="Times New Roman"/>
          <w:i/>
          <w:iCs/>
          <w:color w:val="auto"/>
          <w:szCs w:val="22"/>
          <w:lang w:val="es-PE"/>
        </w:rPr>
        <w:t>Palabras clave:</w:t>
      </w:r>
      <w:r w:rsidRPr="00D24A16">
        <w:rPr>
          <w:rFonts w:eastAsia="Aptos" w:cs="Times New Roman"/>
          <w:b w:val="0"/>
          <w:bCs w:val="0"/>
          <w:color w:val="auto"/>
          <w:szCs w:val="22"/>
          <w:lang w:val="es-PE"/>
        </w:rPr>
        <w:t xml:space="preserve"> Dengue, conocimientos, prácticas preventivas, salud pública, estudiantes desecundaria, correlacional.</w:t>
      </w:r>
    </w:p>
    <w:p w:rsidR="00CD2D5C" w:rsidRPr="00CD2D5C" w:rsidRDefault="00CD2D5C" w:rsidP="00CD2D5C">
      <w:pPr>
        <w:pStyle w:val="Ttulo2"/>
        <w:numPr>
          <w:ilvl w:val="0"/>
          <w:numId w:val="0"/>
        </w:numPr>
        <w:spacing w:line="360" w:lineRule="auto"/>
        <w:ind w:left="576" w:hanging="576"/>
        <w:rPr>
          <w:rFonts w:cs="Times New Roman"/>
          <w:lang w:val="en-US"/>
        </w:rPr>
      </w:pPr>
      <w:r w:rsidRPr="00CD2D5C">
        <w:rPr>
          <w:rFonts w:cs="Times New Roman"/>
          <w:lang w:val="en-US"/>
        </w:rPr>
        <w:t>ABSTRACT</w:t>
      </w:r>
    </w:p>
    <w:p w:rsidR="00D24A16" w:rsidRPr="00D24A16" w:rsidRDefault="00D24A16" w:rsidP="00161A13">
      <w:pPr>
        <w:ind w:firstLine="708"/>
        <w:rPr>
          <w:rFonts w:eastAsia="Times New Roman" w:cs="Times New Roman"/>
          <w:bCs/>
          <w:color w:val="auto"/>
          <w:szCs w:val="24"/>
          <w:lang w:val="en-US"/>
        </w:rPr>
      </w:pPr>
      <w:r w:rsidRPr="00D24A16">
        <w:rPr>
          <w:rFonts w:eastAsia="Times New Roman" w:cs="Times New Roman"/>
          <w:bCs/>
          <w:color w:val="auto"/>
          <w:szCs w:val="24"/>
          <w:lang w:val="en-US"/>
        </w:rPr>
        <w:t xml:space="preserve">The study aimed to determine the relationship between the level of knowledge and preventive practices against dengue fever in secondary school students at an educational institution in Gambeta in 2025. The research was non-experimental, quantitative, correlational, and applied in design, and was conducted with a sample of 348 students. The instrument, a self-developed questionnaire, demonstrated validity through expert judgment and high reliability with Cronbach's alpha coefficient. The results revealed a significant positive correlation of moderate intensity (rho=0.427, p&lt;0.01), indicating that greater knowledge leads to better preventive practices. However, it was found that the majority of students (57.8%) have an average level of knowledge and almost half (46.8%) have a low </w:t>
      </w:r>
      <w:r w:rsidRPr="00D24A16">
        <w:rPr>
          <w:rFonts w:eastAsia="Times New Roman" w:cs="Times New Roman"/>
          <w:bCs/>
          <w:color w:val="auto"/>
          <w:szCs w:val="24"/>
          <w:lang w:val="en-US"/>
        </w:rPr>
        <w:lastRenderedPageBreak/>
        <w:t>level of preventive practices, evidencing a critical gap in the application of knowledge. Finally, no significant differences were found in any variable according to the gender of the participants (p&gt;0.05), showing a homogeneous distribution between men and women.</w:t>
      </w:r>
    </w:p>
    <w:p w:rsidR="00CD2D5C" w:rsidRPr="00D24A16" w:rsidRDefault="00D24A16" w:rsidP="00161A13">
      <w:pPr>
        <w:ind w:firstLine="708"/>
        <w:rPr>
          <w:rFonts w:eastAsia="Times New Roman" w:cs="Times New Roman"/>
          <w:bCs/>
          <w:color w:val="auto"/>
          <w:szCs w:val="24"/>
          <w:lang w:val="en-US"/>
        </w:rPr>
      </w:pPr>
      <w:r w:rsidRPr="00161A13">
        <w:rPr>
          <w:rFonts w:eastAsia="Times New Roman" w:cs="Times New Roman"/>
          <w:b/>
          <w:i/>
          <w:iCs/>
          <w:color w:val="auto"/>
          <w:szCs w:val="24"/>
          <w:lang w:val="en-US"/>
        </w:rPr>
        <w:t>Keywords:</w:t>
      </w:r>
      <w:r w:rsidRPr="00D24A16">
        <w:rPr>
          <w:rFonts w:eastAsia="Times New Roman" w:cs="Times New Roman"/>
          <w:bCs/>
          <w:color w:val="auto"/>
          <w:szCs w:val="24"/>
          <w:lang w:val="en-US"/>
        </w:rPr>
        <w:t xml:space="preserve"> Dengue, knowledge, preventive practices, public health, secondary school students, correlational.</w:t>
      </w:r>
    </w:p>
    <w:p w:rsidR="00D24A16" w:rsidRPr="00CD2D5C" w:rsidRDefault="00D24A16" w:rsidP="00161A13">
      <w:pPr>
        <w:ind w:firstLine="708"/>
        <w:rPr>
          <w:rFonts w:cs="Times New Roman"/>
          <w:bCs/>
          <w:szCs w:val="24"/>
          <w:lang w:val="en-US"/>
        </w:rPr>
      </w:pPr>
    </w:p>
    <w:p w:rsidR="00DC73DF" w:rsidRPr="00CD2D5C" w:rsidRDefault="00E617E9" w:rsidP="00161A13">
      <w:pPr>
        <w:ind w:firstLine="0"/>
        <w:rPr>
          <w:rFonts w:cs="Times New Roman"/>
          <w:b/>
          <w:bCs/>
          <w:szCs w:val="24"/>
        </w:rPr>
      </w:pPr>
      <w:r w:rsidRPr="00CD2D5C">
        <w:rPr>
          <w:rFonts w:cs="Times New Roman"/>
          <w:b/>
          <w:bCs/>
          <w:szCs w:val="24"/>
        </w:rPr>
        <w:t>INTRODUCCION</w:t>
      </w:r>
    </w:p>
    <w:p w:rsidR="00FE083B" w:rsidRPr="00FE083B" w:rsidRDefault="00FE083B" w:rsidP="00161A13">
      <w:r w:rsidRPr="00FE083B">
        <w:t>El dengue representa un desafío persistente para la salud pública, especialmente en regiones tropicales y subtropicales, donde las campañas educativas y de control vectorial han logrado aumentar el nivel de conocimiento de la población, pero no siempre han conseguido transformar ese conocimiento en prácticas sostenibles que reduzcan la transmisión. Existe una brecha evidente entre lo que las personas saben y lo que realmente hacen, lo que limita el impacto de las intervenciones y favorece la continuidad de los brotes.</w:t>
      </w:r>
    </w:p>
    <w:p w:rsidR="00FE083B" w:rsidRPr="00FE083B" w:rsidRDefault="00FE083B" w:rsidP="00161A13">
      <w:pPr>
        <w:ind w:firstLine="0"/>
        <w:rPr>
          <w:rFonts w:cs="Times New Roman"/>
          <w:szCs w:val="24"/>
        </w:rPr>
      </w:pPr>
      <w:r w:rsidRPr="00FE083B">
        <w:rPr>
          <w:rFonts w:cs="Times New Roman"/>
          <w:szCs w:val="24"/>
        </w:rPr>
        <w:t>Diversos estudios muestran que factores como la percepción del riesgo, las condiciones socioeconómicas y la pertinencia cultural de los materiales educativos influyen directamente en la efectividad de las acciones preventivas. Aunque gran parte de la población reconoce los síntomas más comunes del dengue, persisten vacíos importantes en la identificación de criaderos domésticos y en la aplicación sistemática de medidas de contención, lo que explica la recurrencia de casos y la dificultad de lograr una reducción sostenida.</w:t>
      </w:r>
    </w:p>
    <w:p w:rsidR="00FE083B" w:rsidRPr="00FE083B" w:rsidRDefault="00FE083B" w:rsidP="00161A13">
      <w:pPr>
        <w:ind w:firstLine="0"/>
        <w:rPr>
          <w:rFonts w:cs="Times New Roman"/>
          <w:szCs w:val="24"/>
        </w:rPr>
      </w:pPr>
      <w:r w:rsidRPr="00FE083B">
        <w:rPr>
          <w:rFonts w:cs="Times New Roman"/>
          <w:szCs w:val="24"/>
        </w:rPr>
        <w:t>En el ámbito nacional, se observa que la población reconoce algunos aspectos básicos de la enfermedad, pero no logra implementar de manera constante las prácticas recomendadas. A esto se suman problemas estructurales como la insuficiente comunicación pública, la falta de recursos municipales para el manejo adecuado de residuos y agua, y las deficiencias en educación sanitaria, que reproducen patrones de exposición y perpetúan la aparición de brotes.</w:t>
      </w:r>
    </w:p>
    <w:p w:rsidR="00FE083B" w:rsidRDefault="00FE083B" w:rsidP="00161A13">
      <w:pPr>
        <w:ind w:firstLine="0"/>
        <w:rPr>
          <w:rFonts w:cs="Times New Roman"/>
          <w:b/>
          <w:bCs/>
          <w:szCs w:val="24"/>
          <w:u w:val="single"/>
        </w:rPr>
      </w:pPr>
      <w:r w:rsidRPr="00FE083B">
        <w:rPr>
          <w:rFonts w:cs="Times New Roman"/>
          <w:szCs w:val="24"/>
        </w:rPr>
        <w:t>Las instituciones educativas podrían ser espacios estratégicos para fortalecer la prevención, pero las actividades suelen ser fragmentadas, con poco monitoreo y sin integración con la vigilancia sanitaria local. La ausencia de programas escolares estandarizados y sostenidos limita la capacidad de transformar el conocimiento en hábitos cotidianos entre estudiantes y familias, lo que constituye una debilidad crítica en la respuesta frente al dengue.</w:t>
      </w:r>
    </w:p>
    <w:p w:rsidR="00CD2D5C" w:rsidRPr="00CD2D5C" w:rsidRDefault="00CD2D5C" w:rsidP="00161A13">
      <w:pPr>
        <w:ind w:firstLine="0"/>
        <w:rPr>
          <w:rFonts w:cs="Times New Roman"/>
          <w:b/>
          <w:bCs/>
          <w:szCs w:val="24"/>
        </w:rPr>
      </w:pPr>
      <w:r w:rsidRPr="00CD2D5C">
        <w:rPr>
          <w:rFonts w:cs="Times New Roman"/>
          <w:b/>
          <w:bCs/>
          <w:szCs w:val="24"/>
          <w:u w:val="single"/>
        </w:rPr>
        <w:t>Problema principal de la Investigación fue</w:t>
      </w:r>
      <w:r w:rsidRPr="00CD2D5C">
        <w:rPr>
          <w:rFonts w:cs="Times New Roman"/>
          <w:b/>
          <w:bCs/>
          <w:szCs w:val="24"/>
        </w:rPr>
        <w:t>:</w:t>
      </w:r>
    </w:p>
    <w:p w:rsidR="00FE083B" w:rsidRDefault="00FE083B" w:rsidP="00161A13">
      <w:pPr>
        <w:ind w:firstLine="0"/>
        <w:rPr>
          <w:rFonts w:cs="Times New Roman"/>
          <w:szCs w:val="24"/>
        </w:rPr>
      </w:pPr>
      <w:r w:rsidRPr="00FE083B">
        <w:rPr>
          <w:rFonts w:cs="Times New Roman"/>
          <w:szCs w:val="24"/>
        </w:rPr>
        <w:t>¿Cuál es la relación que existe entre el nivel de conocimientos y las prácticas preventivas contra dengue?</w:t>
      </w:r>
    </w:p>
    <w:p w:rsidR="007F2702" w:rsidRPr="00CD2D5C" w:rsidRDefault="00B12790" w:rsidP="00161A13">
      <w:pPr>
        <w:ind w:firstLine="0"/>
        <w:rPr>
          <w:rFonts w:cs="Times New Roman"/>
          <w:szCs w:val="24"/>
        </w:rPr>
      </w:pPr>
      <w:r w:rsidRPr="00CD2D5C">
        <w:rPr>
          <w:rFonts w:cs="Times New Roman"/>
          <w:b/>
          <w:bCs/>
          <w:szCs w:val="24"/>
          <w:u w:val="single"/>
        </w:rPr>
        <w:t xml:space="preserve">Al respecto, como antecedentes </w:t>
      </w:r>
      <w:r w:rsidR="00221EE9" w:rsidRPr="00CD2D5C">
        <w:rPr>
          <w:rFonts w:cs="Times New Roman"/>
          <w:b/>
          <w:bCs/>
          <w:szCs w:val="24"/>
          <w:u w:val="single"/>
        </w:rPr>
        <w:t>tenemos:</w:t>
      </w:r>
    </w:p>
    <w:p w:rsidR="00FE083B" w:rsidRPr="00FE083B" w:rsidRDefault="00FE083B" w:rsidP="00161A13">
      <w:pPr>
        <w:rPr>
          <w:shd w:val="clear" w:color="auto" w:fill="FFFFFF"/>
        </w:rPr>
      </w:pPr>
      <w:r w:rsidRPr="00FE083B">
        <w:rPr>
          <w:shd w:val="clear" w:color="auto" w:fill="FFFFFF"/>
        </w:rPr>
        <w:lastRenderedPageBreak/>
        <w:t>Pereyra (2021)El estudio muestra que cuando los estudiantes poseen un alto nivel de conocimientos sobre el dengue, esto se refleja directamente en mejores prácticas preventivas. La investigación sugiere que la educación formal en salud puede ser un factor determinante para que los jóvenes adopten conductas responsables frente a la enfermedad.</w:t>
      </w:r>
    </w:p>
    <w:p w:rsidR="00FE083B" w:rsidRPr="00FE083B" w:rsidRDefault="00FE083B" w:rsidP="00161A13">
      <w:pPr>
        <w:rPr>
          <w:shd w:val="clear" w:color="auto" w:fill="FFFFFF"/>
        </w:rPr>
      </w:pPr>
      <w:r w:rsidRPr="00FE083B">
        <w:rPr>
          <w:shd w:val="clear" w:color="auto" w:fill="FFFFFF"/>
        </w:rPr>
        <w:t>Sotelo et al. (2021)La investigación evidencia que el conocimiento insuficiente se traduce en medidas preventivas inadecuadas. Esto significa que la información es un recurso esencial: sin ella, las personas no logran aplicar acciones efectivas para reducir el riesgo de transmisión. El estudio resalta la importancia de fortalecer la educación comunitaria.</w:t>
      </w:r>
    </w:p>
    <w:p w:rsidR="00FE083B" w:rsidRPr="00FE083B" w:rsidRDefault="00FE083B" w:rsidP="00161A13">
      <w:pPr>
        <w:rPr>
          <w:shd w:val="clear" w:color="auto" w:fill="FFFFFF"/>
        </w:rPr>
      </w:pPr>
      <w:r w:rsidRPr="00FE083B">
        <w:rPr>
          <w:shd w:val="clear" w:color="auto" w:fill="FFFFFF"/>
        </w:rPr>
        <w:t>Bernaola (2021)Aquí se destaca que la educación para la salud no solo transmite información, sino que también empodera a los pobladores. El empoderamiento se convierte en un motor que impulsa la prevención y el control del dengue, mostrando que la participación activa de la comunidad es clave para sostener las medidas preventivas.</w:t>
      </w:r>
    </w:p>
    <w:p w:rsidR="00FE083B" w:rsidRPr="00FE083B" w:rsidRDefault="00FE083B" w:rsidP="00161A13">
      <w:pPr>
        <w:rPr>
          <w:shd w:val="clear" w:color="auto" w:fill="FFFFFF"/>
        </w:rPr>
      </w:pPr>
      <w:r w:rsidRPr="00FE083B">
        <w:rPr>
          <w:shd w:val="clear" w:color="auto" w:fill="FFFFFF"/>
        </w:rPr>
        <w:t>Mendo (2024)El trabajo revela que los factores sociodemográficos influyen significativamente en el nivel de conocimiento sobre el dengue. Esto implica que la edad, el nivel educativo, la ocupación y otros aspectos sociales condicionan la manera en que las personas comprenden y enfrentan la enfermedad. La prevención, por tanto, debe adaptarse a las características de cada grupo poblacional.</w:t>
      </w:r>
    </w:p>
    <w:p w:rsidR="00FE083B" w:rsidRPr="00FE083B" w:rsidRDefault="00FE083B" w:rsidP="00161A13">
      <w:pPr>
        <w:rPr>
          <w:shd w:val="clear" w:color="auto" w:fill="FFFFFF"/>
        </w:rPr>
      </w:pPr>
      <w:r w:rsidRPr="00FE083B">
        <w:rPr>
          <w:shd w:val="clear" w:color="auto" w:fill="FFFFFF"/>
        </w:rPr>
        <w:t>Ignacio y Chaupin (2023)El estudio demuestra que existe una relación directa entre el nivel de conocimiento y la prevención: a menor conocimiento, menor capacidad de aplicar medidas efectivas. Esto confirma que la información clara y accesible es indispensable para que las familias adopten prácticas sostenibles frente al dengue.</w:t>
      </w:r>
    </w:p>
    <w:p w:rsidR="00FE083B" w:rsidRDefault="00FE083B" w:rsidP="00161A13">
      <w:pPr>
        <w:rPr>
          <w:shd w:val="clear" w:color="auto" w:fill="FFFFFF"/>
        </w:rPr>
      </w:pPr>
      <w:r w:rsidRPr="00FE083B">
        <w:rPr>
          <w:rFonts w:ascii="Segoe UI Emoji" w:hAnsi="Segoe UI Emoji" w:cs="Segoe UI Emoji"/>
          <w:shd w:val="clear" w:color="auto" w:fill="FFFFFF"/>
        </w:rPr>
        <w:t>👉</w:t>
      </w:r>
      <w:r w:rsidRPr="00FE083B">
        <w:rPr>
          <w:shd w:val="clear" w:color="auto" w:fill="FFFFFF"/>
        </w:rPr>
        <w:t xml:space="preserve"> En conjunto, todos los autores coinciden en que el conocimiento es un factor decisivo para la prevención, pero también señalan que este debe estar acompañado de estrategias pedagógicas, empoderamiento comunitario y adaptación a las realidades sociales y culturales.</w:t>
      </w:r>
    </w:p>
    <w:p w:rsidR="00FE083B" w:rsidRPr="00925314" w:rsidRDefault="00925314" w:rsidP="00161A13">
      <w:pPr>
        <w:ind w:firstLine="0"/>
        <w:rPr>
          <w:b/>
          <w:bCs/>
          <w:i/>
          <w:iCs/>
          <w:shd w:val="clear" w:color="auto" w:fill="FFFFFF"/>
        </w:rPr>
      </w:pPr>
      <w:r w:rsidRPr="00925314">
        <w:rPr>
          <w:b/>
          <w:bCs/>
          <w:i/>
          <w:iCs/>
          <w:shd w:val="clear" w:color="auto" w:fill="FFFFFF"/>
        </w:rPr>
        <w:t>Antecedentes Internacionales</w:t>
      </w:r>
    </w:p>
    <w:p w:rsidR="00FE083B" w:rsidRPr="00FE083B" w:rsidRDefault="00FE083B" w:rsidP="00161A13">
      <w:pPr>
        <w:rPr>
          <w:shd w:val="clear" w:color="auto" w:fill="FFFFFF"/>
        </w:rPr>
      </w:pPr>
      <w:r w:rsidRPr="00FE083B">
        <w:rPr>
          <w:shd w:val="clear" w:color="auto" w:fill="FFFFFF"/>
        </w:rPr>
        <w:t>Selvarajoo (2020)El estudio demuestra que cuando las personas poseen un buen nivel de conocimientos sobre el dengue, esto se refleja en actitudes más responsables y en prácticas preventivas más efectivas. La investigación confirma que la información clara y suficiente es un factor clave para generar conductas que reduzcan la transmisión del virus.</w:t>
      </w:r>
    </w:p>
    <w:p w:rsidR="00FE083B" w:rsidRPr="00FE083B" w:rsidRDefault="00FE083B" w:rsidP="00161A13">
      <w:pPr>
        <w:rPr>
          <w:shd w:val="clear" w:color="auto" w:fill="FFFFFF"/>
        </w:rPr>
      </w:pPr>
      <w:r w:rsidRPr="00FE083B">
        <w:rPr>
          <w:shd w:val="clear" w:color="auto" w:fill="FFFFFF"/>
        </w:rPr>
        <w:t xml:space="preserve">Rhaman (2022)Aunque los estudiantes mostraron una actitud positiva frente al dengue, gran parte de ellos no aplicaba medidas preventivas en su vida cotidiana. Esto evidencia que la actitud favorable no siempre se traduce en acción, y que es necesario </w:t>
      </w:r>
      <w:r w:rsidRPr="00FE083B">
        <w:rPr>
          <w:shd w:val="clear" w:color="auto" w:fill="FFFFFF"/>
        </w:rPr>
        <w:lastRenderedPageBreak/>
        <w:t>reforzar la educación práctica para cerrar la brecha entre lo que se piensa y lo que realmente se hace.</w:t>
      </w:r>
    </w:p>
    <w:p w:rsidR="00FE083B" w:rsidRPr="00FE083B" w:rsidRDefault="00FE083B" w:rsidP="00161A13">
      <w:pPr>
        <w:rPr>
          <w:shd w:val="clear" w:color="auto" w:fill="FFFFFF"/>
        </w:rPr>
      </w:pPr>
      <w:r w:rsidRPr="00FE083B">
        <w:rPr>
          <w:shd w:val="clear" w:color="auto" w:fill="FFFFFF"/>
        </w:rPr>
        <w:t>Pereira (2022)El trabajo revela que el nivel educativo de la población está directamente relacionado con las prácticas preventivas observadas. Esto significa que la educación formal y comunitaria es un factor determinante para que las personas adopten conductas que contribuyan a controlar la presencia del mosquito y, por ende, la propagación del dengue.</w:t>
      </w:r>
    </w:p>
    <w:p w:rsidR="00FE083B" w:rsidRPr="00FE083B" w:rsidRDefault="00FE083B" w:rsidP="00161A13">
      <w:pPr>
        <w:rPr>
          <w:shd w:val="clear" w:color="auto" w:fill="FFFFFF"/>
        </w:rPr>
      </w:pPr>
      <w:r w:rsidRPr="00FE083B">
        <w:rPr>
          <w:shd w:val="clear" w:color="auto" w:fill="FFFFFF"/>
        </w:rPr>
        <w:t>Tuiran (2021)La investigación muestra que la educación sanitaria dirigida a los trabajadores de la salud tiene un impacto positivo en la mejora de sus conocimientos y prácticas. Esto sugiere que capacitar a quienes están en contacto directo con la comunidad fortalece la respuesta preventiva y convierte a los profesionales en agentes multiplicadores de buenas prácticas.</w:t>
      </w:r>
    </w:p>
    <w:p w:rsidR="00FE083B" w:rsidRPr="00FE083B" w:rsidRDefault="00FE083B" w:rsidP="00161A13">
      <w:pPr>
        <w:rPr>
          <w:shd w:val="clear" w:color="auto" w:fill="FFFFFF"/>
        </w:rPr>
      </w:pPr>
      <w:r w:rsidRPr="00FE083B">
        <w:rPr>
          <w:shd w:val="clear" w:color="auto" w:fill="FFFFFF"/>
        </w:rPr>
        <w:t>Aung (2023)El estudio evidencia que los programas de capacitación en escuelas son efectivos para mejorar las actitudes y prácticas de los estudiantes frente al dengue. La formación sistemática en espacios educativos se convierte en una herramienta estratégica para transformar el conocimiento en acciones concretas y sostenibles.</w:t>
      </w:r>
    </w:p>
    <w:p w:rsidR="00FE083B" w:rsidRDefault="00FE083B" w:rsidP="00161A13">
      <w:pPr>
        <w:ind w:firstLine="0"/>
        <w:rPr>
          <w:rFonts w:cs="Times New Roman"/>
          <w:szCs w:val="24"/>
          <w:shd w:val="clear" w:color="auto" w:fill="FFFFFF"/>
        </w:rPr>
      </w:pPr>
    </w:p>
    <w:p w:rsidR="00B12790" w:rsidRPr="00CD2D5C" w:rsidRDefault="00B12790" w:rsidP="00161A13">
      <w:pPr>
        <w:ind w:firstLine="0"/>
        <w:rPr>
          <w:rFonts w:cs="Times New Roman"/>
          <w:b/>
          <w:bCs/>
          <w:szCs w:val="24"/>
        </w:rPr>
      </w:pPr>
      <w:r w:rsidRPr="00CD2D5C">
        <w:rPr>
          <w:rFonts w:cs="Times New Roman"/>
          <w:b/>
          <w:bCs/>
          <w:szCs w:val="24"/>
        </w:rPr>
        <w:t>METODO</w:t>
      </w:r>
    </w:p>
    <w:p w:rsidR="00925314" w:rsidRPr="00925314" w:rsidRDefault="00925314" w:rsidP="004B48E0">
      <w:r w:rsidRPr="00925314">
        <w:t>El estudio se desarrolló bajo un diseño no experimental, observando los fenómenos en su contexto natural sin manipular variables. Se aplicó un enfoque cuantitativo, basado en la recolección y análisis de datos numéricos. El nivel fue correlacional, orientado a identificar relaciones entre dos o más variables. En cuanto a la temporalidad, se trató de un estudio transversal, ya que las mediciones se realizaron en un único momento. Finalmente, fue de tipo aplicada, pues buscó generar conocimiento útil y ampliar la comprensión de una realidad específica.</w:t>
      </w:r>
    </w:p>
    <w:p w:rsidR="00925314" w:rsidRPr="00925314" w:rsidRDefault="00925314" w:rsidP="004B48E0">
      <w:r w:rsidRPr="00925314">
        <w:t>La población del estudio estuvo conformada por 348 estudiantes de secundaria pertenecientes a una institución educativa. Dado que se incluyó a todos los estudiantes desde primero hasta quinto año, la muestra coincidió con la totalidad de la población. Por ello, se trató de una muestra censal, lo que permitió abarcar de manera completa el universo de participantes definidos en la investigación.</w:t>
      </w:r>
    </w:p>
    <w:p w:rsidR="00925314" w:rsidRPr="00925314" w:rsidRDefault="00925314" w:rsidP="004B48E0">
      <w:pPr>
        <w:rPr>
          <w:rFonts w:cs="Times New Roman"/>
          <w:szCs w:val="24"/>
        </w:rPr>
      </w:pPr>
      <w:r w:rsidRPr="00925314">
        <w:rPr>
          <w:rFonts w:cs="Times New Roman"/>
          <w:szCs w:val="24"/>
        </w:rPr>
        <w:t xml:space="preserve">Variable 1: </w:t>
      </w:r>
      <w:r w:rsidR="00E44B73">
        <w:rPr>
          <w:rFonts w:cs="Times New Roman"/>
          <w:szCs w:val="24"/>
        </w:rPr>
        <w:t xml:space="preserve">Nivel de </w:t>
      </w:r>
      <w:r w:rsidRPr="00925314">
        <w:rPr>
          <w:rFonts w:cs="Times New Roman"/>
          <w:szCs w:val="24"/>
        </w:rPr>
        <w:t>conocimientos sobre el dengue</w:t>
      </w:r>
    </w:p>
    <w:p w:rsidR="00925314" w:rsidRPr="00925314" w:rsidRDefault="00925314" w:rsidP="004B48E0">
      <w:pPr>
        <w:rPr>
          <w:rFonts w:cs="Times New Roman"/>
          <w:szCs w:val="24"/>
        </w:rPr>
      </w:pPr>
      <w:r w:rsidRPr="00925314">
        <w:rPr>
          <w:rFonts w:cs="Times New Roman"/>
          <w:szCs w:val="24"/>
        </w:rPr>
        <w:t>Variable 2: Prevención contra el dengue</w:t>
      </w:r>
    </w:p>
    <w:p w:rsidR="00925314" w:rsidRPr="00925314" w:rsidRDefault="00925314" w:rsidP="004B48E0">
      <w:pPr>
        <w:rPr>
          <w:rFonts w:cs="Times New Roman"/>
          <w:szCs w:val="24"/>
        </w:rPr>
      </w:pPr>
      <w:r w:rsidRPr="00925314">
        <w:rPr>
          <w:rFonts w:cs="Times New Roman"/>
          <w:szCs w:val="24"/>
        </w:rPr>
        <w:t xml:space="preserve">El estudio utilizó como instrumentos dos cuestionarios elaborados por el investigador, aplicados mediante la técnica de encuesta. Cada cuestionario estuvo diseñado en función de </w:t>
      </w:r>
      <w:r w:rsidRPr="00925314">
        <w:rPr>
          <w:rFonts w:cs="Times New Roman"/>
          <w:szCs w:val="24"/>
        </w:rPr>
        <w:lastRenderedPageBreak/>
        <w:t>las variables, dimensiones e indicadores de la investigación, y fue sometido a procesos de validación por especialistas y a pruebas de confiabilidad mediante el coeficiente Alfa de Cronbach, confirmando su consistencia interna.</w:t>
      </w:r>
    </w:p>
    <w:p w:rsidR="00925314" w:rsidRPr="00925314" w:rsidRDefault="00925314" w:rsidP="004B48E0">
      <w:pPr>
        <w:rPr>
          <w:rFonts w:cs="Times New Roman"/>
          <w:szCs w:val="24"/>
        </w:rPr>
      </w:pPr>
      <w:r w:rsidRPr="00925314">
        <w:rPr>
          <w:rFonts w:cs="Times New Roman"/>
          <w:szCs w:val="24"/>
        </w:rPr>
        <w:t>En cuanto a los procedimientos, se gestionó la autorización con la institución educativa y se explicó a los estudiantes los objetivos y la forma de responder el cuestionario. La aplicación se realizó de manera individual, con apoyo de personal que orientó a los participantes y resolvió dudas, asegurando respuestas honestas en un tiempo aproximado de 20 minutos.</w:t>
      </w:r>
    </w:p>
    <w:p w:rsidR="00925314" w:rsidRPr="00925314" w:rsidRDefault="00925314" w:rsidP="004B48E0">
      <w:pPr>
        <w:rPr>
          <w:rFonts w:cs="Times New Roman"/>
          <w:szCs w:val="24"/>
        </w:rPr>
      </w:pPr>
      <w:r w:rsidRPr="00925314">
        <w:rPr>
          <w:rFonts w:cs="Times New Roman"/>
          <w:szCs w:val="24"/>
        </w:rPr>
        <w:t>El análisis de datos se inició con el registro en Excel y posteriormente se procesó en SPSS v27, lo que permitió organizar la información y realizar análisis descriptivos e inferenciales. Los niveles de conocimiento se clasificaron en bajo, regular y alto, siguiendo referencias de estudios internacionales. Para el análisis descriptivo se calcularon frecuencias y porcentajes, mientras que en el análisis inferencial se aplicó la prueba Chi-cuadrado de independencia para determinar asociaciones significativas entre las variables, complementada con el coeficiente V de Cramer para medir la fuerza de dichas asociaciones. El nivel de significancia se estableció en p &lt; 0.05.</w:t>
      </w:r>
    </w:p>
    <w:p w:rsidR="00925314" w:rsidRDefault="00925314" w:rsidP="004B48E0">
      <w:pPr>
        <w:rPr>
          <w:rFonts w:cs="Times New Roman"/>
          <w:szCs w:val="24"/>
        </w:rPr>
      </w:pPr>
      <w:r w:rsidRPr="00925314">
        <w:rPr>
          <w:rFonts w:cs="Times New Roman"/>
          <w:szCs w:val="24"/>
        </w:rPr>
        <w:t>En síntesis, la metodología fue cuantitativa, correlacional, con diseño no experimental y transversal, orientada a identificar relaciones entre conocimientos sobre el dengue y prácticas preventivas en estudiantes de secundaria.</w:t>
      </w:r>
    </w:p>
    <w:p w:rsidR="008E02B5" w:rsidRDefault="00211E39" w:rsidP="00DB6CD8">
      <w:pPr>
        <w:ind w:firstLine="0"/>
        <w:rPr>
          <w:rFonts w:cs="Times New Roman"/>
          <w:szCs w:val="24"/>
        </w:rPr>
      </w:pPr>
      <w:r w:rsidRPr="00CD2D5C">
        <w:rPr>
          <w:rFonts w:cs="Times New Roman"/>
          <w:b/>
          <w:bCs/>
          <w:szCs w:val="24"/>
        </w:rPr>
        <w:t>RESULTADOS</w:t>
      </w:r>
      <w:r w:rsidRPr="00CD2D5C">
        <w:rPr>
          <w:rFonts w:cs="Times New Roman"/>
          <w:szCs w:val="24"/>
        </w:rPr>
        <w:t>:</w:t>
      </w:r>
      <w:bookmarkStart w:id="2" w:name="_Toc156161757"/>
      <w:bookmarkStart w:id="3" w:name="_Toc173270115"/>
    </w:p>
    <w:p w:rsidR="00925314" w:rsidRPr="00925314" w:rsidRDefault="00925314" w:rsidP="00925314">
      <w:pPr>
        <w:spacing w:after="160" w:line="259" w:lineRule="auto"/>
        <w:ind w:firstLine="0"/>
        <w:jc w:val="left"/>
        <w:rPr>
          <w:rFonts w:eastAsia="Aptos" w:cs="Times New Roman"/>
          <w:b/>
          <w:bCs/>
          <w:color w:val="auto"/>
        </w:rPr>
      </w:pPr>
      <w:bookmarkStart w:id="4" w:name="_Toc207705911"/>
      <w:r w:rsidRPr="00925314">
        <w:rPr>
          <w:rFonts w:eastAsia="Aptos" w:cs="Times New Roman"/>
          <w:b/>
          <w:bCs/>
          <w:color w:val="auto"/>
        </w:rPr>
        <w:t>Resultados descriptivos</w:t>
      </w:r>
      <w:bookmarkEnd w:id="4"/>
      <w:r>
        <w:rPr>
          <w:rFonts w:eastAsia="Aptos" w:cs="Times New Roman"/>
          <w:b/>
          <w:bCs/>
          <w:color w:val="auto"/>
        </w:rPr>
        <w:t xml:space="preserve">- </w:t>
      </w:r>
      <w:r w:rsidRPr="00925314">
        <w:rPr>
          <w:rFonts w:eastAsia="Aptos" w:cs="Times New Roman"/>
          <w:b/>
          <w:bCs/>
          <w:color w:val="auto"/>
        </w:rPr>
        <w:t>Caracterización de la muestra</w:t>
      </w:r>
    </w:p>
    <w:p w:rsidR="00925314" w:rsidRPr="00925314" w:rsidRDefault="00925314" w:rsidP="00925314">
      <w:pPr>
        <w:keepNext/>
        <w:spacing w:after="120" w:line="480" w:lineRule="auto"/>
        <w:ind w:firstLine="0"/>
        <w:jc w:val="left"/>
        <w:rPr>
          <w:rFonts w:eastAsia="Aptos" w:cs="Times New Roman"/>
          <w:b/>
          <w:bCs/>
          <w:i/>
          <w:iCs/>
          <w:color w:val="auto"/>
          <w:szCs w:val="24"/>
        </w:rPr>
      </w:pPr>
      <w:bookmarkStart w:id="5" w:name="_Toc206694173"/>
      <w:r>
        <w:rPr>
          <w:rFonts w:eastAsia="Aptos" w:cs="Times New Roman"/>
          <w:b/>
          <w:bCs/>
          <w:color w:val="auto"/>
          <w:szCs w:val="24"/>
        </w:rPr>
        <w:t>Figura</w:t>
      </w:r>
      <w:r w:rsidR="00F70119" w:rsidRPr="00925314">
        <w:rPr>
          <w:rFonts w:eastAsia="Aptos" w:cs="Times New Roman"/>
          <w:b/>
          <w:bCs/>
          <w:color w:val="auto"/>
          <w:szCs w:val="24"/>
        </w:rPr>
        <w:fldChar w:fldCharType="begin"/>
      </w:r>
      <w:r w:rsidRPr="00925314">
        <w:rPr>
          <w:rFonts w:eastAsia="Aptos" w:cs="Times New Roman"/>
          <w:b/>
          <w:bCs/>
          <w:color w:val="auto"/>
          <w:szCs w:val="24"/>
        </w:rPr>
        <w:instrText xml:space="preserve"> SEQ Gráfico \* ARABIC </w:instrText>
      </w:r>
      <w:r w:rsidR="00F70119" w:rsidRPr="00925314">
        <w:rPr>
          <w:rFonts w:eastAsia="Aptos" w:cs="Times New Roman"/>
          <w:b/>
          <w:bCs/>
          <w:color w:val="auto"/>
          <w:szCs w:val="24"/>
        </w:rPr>
        <w:fldChar w:fldCharType="separate"/>
      </w:r>
      <w:r w:rsidR="00141C30">
        <w:rPr>
          <w:rFonts w:eastAsia="Aptos" w:cs="Times New Roman"/>
          <w:b/>
          <w:bCs/>
          <w:noProof/>
          <w:color w:val="auto"/>
          <w:szCs w:val="24"/>
        </w:rPr>
        <w:t>1</w:t>
      </w:r>
      <w:r w:rsidR="00F70119" w:rsidRPr="00925314">
        <w:rPr>
          <w:rFonts w:eastAsia="Aptos" w:cs="Times New Roman"/>
          <w:b/>
          <w:bCs/>
          <w:color w:val="auto"/>
          <w:szCs w:val="24"/>
        </w:rPr>
        <w:fldChar w:fldCharType="end"/>
      </w:r>
      <w:r w:rsidRPr="00925314">
        <w:rPr>
          <w:rFonts w:eastAsia="Aptos" w:cs="Times New Roman"/>
          <w:b/>
          <w:bCs/>
          <w:color w:val="auto"/>
          <w:szCs w:val="24"/>
        </w:rPr>
        <w:br/>
      </w:r>
      <w:r w:rsidRPr="00925314">
        <w:rPr>
          <w:rFonts w:eastAsia="Aptos" w:cs="Times New Roman"/>
          <w:i/>
          <w:iCs/>
          <w:color w:val="auto"/>
          <w:szCs w:val="24"/>
        </w:rPr>
        <w:t>Edad de los alumnos de secundaria</w:t>
      </w:r>
      <w:bookmarkEnd w:id="5"/>
    </w:p>
    <w:p w:rsidR="00925314" w:rsidRPr="00925314" w:rsidRDefault="00925314" w:rsidP="00925314">
      <w:pPr>
        <w:ind w:firstLine="0"/>
        <w:jc w:val="center"/>
        <w:rPr>
          <w:rFonts w:eastAsia="Times New Roman" w:cs="Times New Roman"/>
          <w:color w:val="auto"/>
          <w:szCs w:val="24"/>
          <w:lang w:eastAsia="es-PE"/>
        </w:rPr>
      </w:pPr>
      <w:r w:rsidRPr="00925314">
        <w:rPr>
          <w:rFonts w:eastAsia="Aptos" w:cs="Times New Roman"/>
          <w:noProof/>
          <w:color w:val="auto"/>
          <w:lang w:val="es-ES" w:eastAsia="es-ES"/>
        </w:rPr>
        <w:drawing>
          <wp:inline distT="0" distB="0" distL="0" distR="0">
            <wp:extent cx="4181475" cy="1514475"/>
            <wp:effectExtent l="0" t="0" r="9525" b="9525"/>
            <wp:docPr id="1"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72B5510-8D88-FE5B-40E1-044DFAEF8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5314" w:rsidRPr="00925314" w:rsidRDefault="00925314" w:rsidP="00925314">
      <w:pPr>
        <w:spacing w:after="120" w:line="480" w:lineRule="auto"/>
        <w:ind w:firstLine="0"/>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La mayoría de los alumnos tienen entre 13 y 16 años, el grupo más grande es el de 13 años (25.0%) seguido por los de 14 (20.1%) y 15 años (19.3%), los estudiantes de 12 (11.8%) y 16 años (17.0%) también son significativos.</w:t>
      </w:r>
    </w:p>
    <w:p w:rsidR="00925314" w:rsidRPr="00925314" w:rsidRDefault="00925314" w:rsidP="00925314">
      <w:pPr>
        <w:keepNext/>
        <w:spacing w:line="480" w:lineRule="auto"/>
        <w:ind w:firstLine="0"/>
        <w:jc w:val="left"/>
        <w:rPr>
          <w:rFonts w:eastAsia="Aptos" w:cs="Times New Roman"/>
          <w:i/>
          <w:iCs/>
          <w:color w:val="auto"/>
          <w:szCs w:val="24"/>
        </w:rPr>
      </w:pPr>
      <w:bookmarkStart w:id="6" w:name="_Toc207618309"/>
      <w:bookmarkStart w:id="7" w:name="_Toc214113725"/>
      <w:r w:rsidRPr="00925314">
        <w:rPr>
          <w:rFonts w:eastAsia="Aptos" w:cs="Times New Roman"/>
          <w:b/>
          <w:color w:val="auto"/>
        </w:rPr>
        <w:lastRenderedPageBreak/>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1</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Aptos" w:cs="Times New Roman"/>
          <w:i/>
          <w:iCs/>
          <w:color w:val="auto"/>
          <w:szCs w:val="24"/>
        </w:rPr>
        <w:t>Edad de los alumnos de secundaria</w:t>
      </w:r>
      <w:bookmarkEnd w:id="6"/>
      <w:bookmarkEnd w:id="7"/>
    </w:p>
    <w:tbl>
      <w:tblPr>
        <w:tblW w:w="3452" w:type="pct"/>
        <w:tblInd w:w="1408" w:type="dxa"/>
        <w:tblBorders>
          <w:top w:val="single" w:sz="4" w:space="0" w:color="auto"/>
          <w:bottom w:val="single" w:sz="4" w:space="0" w:color="auto"/>
        </w:tblBorders>
        <w:tblCellMar>
          <w:left w:w="70" w:type="dxa"/>
          <w:right w:w="70" w:type="dxa"/>
        </w:tblCellMar>
        <w:tblLook w:val="04A0"/>
      </w:tblPr>
      <w:tblGrid>
        <w:gridCol w:w="1539"/>
        <w:gridCol w:w="1540"/>
        <w:gridCol w:w="1713"/>
        <w:gridCol w:w="1537"/>
      </w:tblGrid>
      <w:tr w:rsidR="00925314" w:rsidRPr="00925314" w:rsidTr="00C7614B">
        <w:trPr>
          <w:trHeight w:val="268"/>
        </w:trPr>
        <w:tc>
          <w:tcPr>
            <w:tcW w:w="2433" w:type="pct"/>
            <w:gridSpan w:val="2"/>
            <w:tcBorders>
              <w:top w:val="single" w:sz="4" w:space="0" w:color="auto"/>
              <w:bottom w:val="single" w:sz="4" w:space="0" w:color="auto"/>
            </w:tcBorders>
            <w:vAlign w:val="center"/>
            <w:hideMark/>
          </w:tcPr>
          <w:p w:rsidR="00925314" w:rsidRPr="00925314" w:rsidRDefault="00925314" w:rsidP="00C7614B">
            <w:pPr>
              <w:spacing w:line="240" w:lineRule="auto"/>
              <w:ind w:firstLine="0"/>
              <w:jc w:val="center"/>
              <w:rPr>
                <w:rFonts w:eastAsia="Times New Roman" w:cs="Times New Roman"/>
                <w:b/>
                <w:bCs/>
                <w:color w:val="auto"/>
                <w:sz w:val="20"/>
                <w:szCs w:val="24"/>
                <w:lang w:eastAsia="es-PE"/>
              </w:rPr>
            </w:pPr>
          </w:p>
        </w:tc>
        <w:tc>
          <w:tcPr>
            <w:tcW w:w="1353" w:type="pct"/>
            <w:tcBorders>
              <w:top w:val="single" w:sz="4" w:space="0" w:color="auto"/>
              <w:bottom w:val="single" w:sz="4" w:space="0" w:color="auto"/>
            </w:tcBorders>
            <w:vAlign w:val="center"/>
            <w:hideMark/>
          </w:tcPr>
          <w:p w:rsidR="00925314" w:rsidRPr="00925314" w:rsidRDefault="00925314" w:rsidP="00C7614B">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f</w:t>
            </w:r>
          </w:p>
        </w:tc>
        <w:tc>
          <w:tcPr>
            <w:tcW w:w="1215" w:type="pct"/>
            <w:tcBorders>
              <w:top w:val="single" w:sz="4" w:space="0" w:color="auto"/>
              <w:bottom w:val="single" w:sz="4" w:space="0" w:color="auto"/>
            </w:tcBorders>
            <w:vAlign w:val="center"/>
            <w:hideMark/>
          </w:tcPr>
          <w:p w:rsidR="00925314" w:rsidRPr="00925314" w:rsidRDefault="00925314" w:rsidP="00C7614B">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w:t>
            </w:r>
          </w:p>
        </w:tc>
      </w:tr>
      <w:tr w:rsidR="00925314" w:rsidRPr="00925314" w:rsidTr="00C7614B">
        <w:trPr>
          <w:trHeight w:val="268"/>
        </w:trPr>
        <w:tc>
          <w:tcPr>
            <w:tcW w:w="1216" w:type="pct"/>
            <w:vMerge w:val="restart"/>
            <w:tcBorders>
              <w:top w:val="single" w:sz="4" w:space="0" w:color="auto"/>
            </w:tcBorders>
            <w:vAlign w:val="center"/>
            <w:hideMark/>
          </w:tcPr>
          <w:p w:rsidR="00925314" w:rsidRPr="00925314" w:rsidRDefault="00925314" w:rsidP="00C7614B">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Edad</w:t>
            </w:r>
          </w:p>
        </w:tc>
        <w:tc>
          <w:tcPr>
            <w:tcW w:w="1217" w:type="pct"/>
            <w:tcBorders>
              <w:top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11</w:t>
            </w:r>
          </w:p>
        </w:tc>
        <w:tc>
          <w:tcPr>
            <w:tcW w:w="1353" w:type="pct"/>
            <w:tcBorders>
              <w:top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w:t>
            </w:r>
          </w:p>
        </w:tc>
        <w:tc>
          <w:tcPr>
            <w:tcW w:w="1215" w:type="pct"/>
            <w:tcBorders>
              <w:top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0.3%</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12</w:t>
            </w:r>
          </w:p>
        </w:tc>
        <w:tc>
          <w:tcPr>
            <w:tcW w:w="1353"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41</w:t>
            </w:r>
          </w:p>
        </w:tc>
        <w:tc>
          <w:tcPr>
            <w:tcW w:w="1215"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11.8%</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13</w:t>
            </w:r>
          </w:p>
        </w:tc>
        <w:tc>
          <w:tcPr>
            <w:tcW w:w="1353"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87</w:t>
            </w:r>
          </w:p>
        </w:tc>
        <w:tc>
          <w:tcPr>
            <w:tcW w:w="1215"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25.0%</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14</w:t>
            </w:r>
          </w:p>
        </w:tc>
        <w:tc>
          <w:tcPr>
            <w:tcW w:w="1353"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70</w:t>
            </w:r>
          </w:p>
        </w:tc>
        <w:tc>
          <w:tcPr>
            <w:tcW w:w="1215"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20.1%</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15</w:t>
            </w:r>
          </w:p>
        </w:tc>
        <w:tc>
          <w:tcPr>
            <w:tcW w:w="1353"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67</w:t>
            </w:r>
          </w:p>
        </w:tc>
        <w:tc>
          <w:tcPr>
            <w:tcW w:w="1215"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19.3%</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16</w:t>
            </w:r>
          </w:p>
        </w:tc>
        <w:tc>
          <w:tcPr>
            <w:tcW w:w="1353"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59</w:t>
            </w:r>
          </w:p>
        </w:tc>
        <w:tc>
          <w:tcPr>
            <w:tcW w:w="1215" w:type="pct"/>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17.0%</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tcBorders>
              <w:bottom w:val="nil"/>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17</w:t>
            </w:r>
          </w:p>
        </w:tc>
        <w:tc>
          <w:tcPr>
            <w:tcW w:w="1353" w:type="pct"/>
            <w:tcBorders>
              <w:bottom w:val="nil"/>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19</w:t>
            </w:r>
          </w:p>
        </w:tc>
        <w:tc>
          <w:tcPr>
            <w:tcW w:w="1215" w:type="pct"/>
            <w:tcBorders>
              <w:bottom w:val="nil"/>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5.5%</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tcBorders>
              <w:top w:val="nil"/>
              <w:bottom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18</w:t>
            </w:r>
          </w:p>
        </w:tc>
        <w:tc>
          <w:tcPr>
            <w:tcW w:w="1353" w:type="pct"/>
            <w:tcBorders>
              <w:top w:val="nil"/>
              <w:bottom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4</w:t>
            </w:r>
          </w:p>
        </w:tc>
        <w:tc>
          <w:tcPr>
            <w:tcW w:w="1215" w:type="pct"/>
            <w:tcBorders>
              <w:top w:val="nil"/>
              <w:bottom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1.1%</w:t>
            </w:r>
          </w:p>
        </w:tc>
      </w:tr>
      <w:tr w:rsidR="00925314" w:rsidRPr="00925314" w:rsidTr="00C7614B">
        <w:trPr>
          <w:trHeight w:val="268"/>
        </w:trPr>
        <w:tc>
          <w:tcPr>
            <w:tcW w:w="1216" w:type="pct"/>
            <w:vMerge/>
            <w:vAlign w:val="center"/>
            <w:hideMark/>
          </w:tcPr>
          <w:p w:rsidR="00925314" w:rsidRPr="00925314" w:rsidRDefault="00925314" w:rsidP="00C7614B">
            <w:pPr>
              <w:spacing w:line="240" w:lineRule="auto"/>
              <w:ind w:firstLine="0"/>
              <w:jc w:val="left"/>
              <w:rPr>
                <w:rFonts w:eastAsia="Times New Roman" w:cs="Times New Roman"/>
                <w:color w:val="auto"/>
                <w:szCs w:val="24"/>
                <w:lang w:eastAsia="es-PE"/>
              </w:rPr>
            </w:pPr>
          </w:p>
        </w:tc>
        <w:tc>
          <w:tcPr>
            <w:tcW w:w="1217" w:type="pct"/>
            <w:tcBorders>
              <w:top w:val="single" w:sz="4" w:space="0" w:color="auto"/>
            </w:tcBorders>
            <w:vAlign w:val="center"/>
            <w:hideMark/>
          </w:tcPr>
          <w:p w:rsidR="00925314" w:rsidRPr="00925314" w:rsidRDefault="00925314" w:rsidP="00C7614B">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353" w:type="pct"/>
            <w:tcBorders>
              <w:top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215" w:type="pct"/>
            <w:tcBorders>
              <w:top w:val="single" w:sz="4" w:space="0" w:color="auto"/>
            </w:tcBorders>
            <w:noWrap/>
            <w:vAlign w:val="center"/>
            <w:hideMark/>
          </w:tcPr>
          <w:p w:rsidR="00925314" w:rsidRPr="00925314" w:rsidRDefault="00925314" w:rsidP="00C7614B">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bl>
    <w:p w:rsidR="00C7614B" w:rsidRDefault="00925314" w:rsidP="00C7614B">
      <w:pPr>
        <w:spacing w:after="160" w:line="259" w:lineRule="auto"/>
        <w:ind w:left="708"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925314" w:rsidRPr="00925314" w:rsidRDefault="00C7614B" w:rsidP="00925314">
      <w:pPr>
        <w:keepNext/>
        <w:spacing w:after="120" w:line="480" w:lineRule="auto"/>
        <w:ind w:firstLine="0"/>
        <w:jc w:val="left"/>
        <w:rPr>
          <w:rFonts w:eastAsia="Aptos" w:cs="Times New Roman"/>
          <w:i/>
          <w:iCs/>
          <w:color w:val="auto"/>
          <w:szCs w:val="24"/>
        </w:rPr>
      </w:pPr>
      <w:bookmarkStart w:id="8" w:name="_Toc206694174"/>
      <w:r w:rsidRPr="00925314">
        <w:rPr>
          <w:rFonts w:eastAsia="Times New Roman" w:cs="Times New Roman"/>
          <w:i/>
          <w:iCs/>
          <w:noProof/>
          <w:color w:val="auto"/>
          <w:szCs w:val="24"/>
          <w:lang w:val="es-ES" w:eastAsia="es-ES"/>
        </w:rPr>
        <w:drawing>
          <wp:anchor distT="0" distB="0" distL="114300" distR="114300" simplePos="0" relativeHeight="251658240" behindDoc="0" locked="0" layoutInCell="1" allowOverlap="1">
            <wp:simplePos x="0" y="0"/>
            <wp:positionH relativeFrom="column">
              <wp:posOffset>1019175</wp:posOffset>
            </wp:positionH>
            <wp:positionV relativeFrom="paragraph">
              <wp:posOffset>656590</wp:posOffset>
            </wp:positionV>
            <wp:extent cx="3086100" cy="1514523"/>
            <wp:effectExtent l="0" t="0" r="0" b="9525"/>
            <wp:wrapNone/>
            <wp:docPr id="1720592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2407"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86100" cy="1514523"/>
                    </a:xfrm>
                    <a:prstGeom prst="rect">
                      <a:avLst/>
                    </a:prstGeom>
                  </pic:spPr>
                </pic:pic>
              </a:graphicData>
            </a:graphic>
          </wp:anchor>
        </w:drawing>
      </w:r>
      <w:r>
        <w:rPr>
          <w:rFonts w:eastAsia="Aptos" w:cs="Times New Roman"/>
          <w:b/>
          <w:bCs/>
          <w:color w:val="auto"/>
          <w:szCs w:val="24"/>
        </w:rPr>
        <w:t>Figura 2</w:t>
      </w:r>
      <w:r w:rsidR="00925314" w:rsidRPr="00925314">
        <w:rPr>
          <w:rFonts w:eastAsia="Aptos" w:cs="Times New Roman"/>
          <w:b/>
          <w:bCs/>
          <w:color w:val="auto"/>
          <w:szCs w:val="24"/>
        </w:rPr>
        <w:br/>
      </w:r>
      <w:r w:rsidR="00925314" w:rsidRPr="00925314">
        <w:rPr>
          <w:rFonts w:eastAsia="Aptos" w:cs="Times New Roman"/>
          <w:i/>
          <w:iCs/>
          <w:color w:val="auto"/>
          <w:szCs w:val="24"/>
        </w:rPr>
        <w:t>Sexo de los alumnos de secundaria</w:t>
      </w:r>
      <w:bookmarkEnd w:id="8"/>
    </w:p>
    <w:p w:rsidR="00925314" w:rsidRPr="00925314" w:rsidRDefault="00925314" w:rsidP="00925314">
      <w:pPr>
        <w:spacing w:after="120"/>
        <w:ind w:firstLine="0"/>
        <w:jc w:val="center"/>
        <w:rPr>
          <w:rFonts w:eastAsia="Times New Roman" w:cs="Times New Roman"/>
          <w:i/>
          <w:iCs/>
          <w:color w:val="auto"/>
          <w:szCs w:val="24"/>
          <w:lang w:eastAsia="es-PE"/>
        </w:rPr>
      </w:pPr>
    </w:p>
    <w:p w:rsidR="00C7614B" w:rsidRDefault="00C7614B" w:rsidP="00925314">
      <w:pPr>
        <w:spacing w:after="120" w:line="480" w:lineRule="auto"/>
        <w:ind w:firstLine="0"/>
        <w:rPr>
          <w:rFonts w:eastAsia="Times New Roman" w:cs="Times New Roman"/>
          <w:i/>
          <w:iCs/>
          <w:color w:val="auto"/>
          <w:szCs w:val="24"/>
          <w:lang w:eastAsia="es-PE"/>
        </w:rPr>
      </w:pPr>
    </w:p>
    <w:p w:rsidR="004B48E0" w:rsidRDefault="004B48E0" w:rsidP="00925314">
      <w:pPr>
        <w:spacing w:after="120" w:line="480" w:lineRule="auto"/>
        <w:ind w:firstLine="0"/>
        <w:rPr>
          <w:rFonts w:eastAsia="Times New Roman" w:cs="Times New Roman"/>
          <w:i/>
          <w:iCs/>
          <w:color w:val="auto"/>
          <w:szCs w:val="24"/>
          <w:lang w:eastAsia="es-PE"/>
        </w:rPr>
      </w:pPr>
    </w:p>
    <w:p w:rsidR="004B48E0" w:rsidRDefault="004B48E0" w:rsidP="00925314">
      <w:pPr>
        <w:spacing w:after="120" w:line="480" w:lineRule="auto"/>
        <w:ind w:firstLine="0"/>
        <w:rPr>
          <w:rFonts w:eastAsia="Times New Roman" w:cs="Times New Roman"/>
          <w:i/>
          <w:iCs/>
          <w:color w:val="auto"/>
          <w:szCs w:val="24"/>
          <w:lang w:eastAsia="es-PE"/>
        </w:rPr>
      </w:pPr>
    </w:p>
    <w:p w:rsidR="00925314" w:rsidRPr="00925314" w:rsidRDefault="00925314" w:rsidP="00925314">
      <w:pPr>
        <w:spacing w:after="120" w:line="480" w:lineRule="auto"/>
        <w:ind w:firstLine="0"/>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La distribución por sexo es casi equitativa, el 52.3% de los alumnos son hombres y el 47.7% son mujeres.</w:t>
      </w:r>
    </w:p>
    <w:p w:rsidR="00925314" w:rsidRPr="00925314" w:rsidRDefault="00925314" w:rsidP="00925314">
      <w:pPr>
        <w:keepNext/>
        <w:spacing w:after="120" w:line="480" w:lineRule="auto"/>
        <w:ind w:firstLine="0"/>
        <w:jc w:val="left"/>
        <w:rPr>
          <w:rFonts w:eastAsia="Times New Roman" w:cs="Times New Roman"/>
          <w:i/>
          <w:iCs/>
          <w:color w:val="0E2841"/>
          <w:sz w:val="18"/>
          <w:szCs w:val="24"/>
          <w:lang w:eastAsia="es-PE"/>
        </w:rPr>
      </w:pPr>
      <w:bookmarkStart w:id="9" w:name="_Toc207618310"/>
      <w:bookmarkStart w:id="10" w:name="_Toc214113726"/>
      <w:r w:rsidRPr="00925314">
        <w:rPr>
          <w:rFonts w:eastAsia="Aptos" w:cs="Times New Roman"/>
          <w:b/>
          <w:color w:val="auto"/>
        </w:rPr>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2</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Aptos" w:cs="Times New Roman"/>
          <w:i/>
          <w:iCs/>
          <w:color w:val="auto"/>
          <w:szCs w:val="24"/>
        </w:rPr>
        <w:t>Sexo de los alumnos de secundaria</w:t>
      </w:r>
      <w:bookmarkEnd w:id="9"/>
      <w:bookmarkEnd w:id="10"/>
    </w:p>
    <w:tbl>
      <w:tblPr>
        <w:tblW w:w="3352" w:type="pct"/>
        <w:jc w:val="center"/>
        <w:tblBorders>
          <w:top w:val="single" w:sz="4" w:space="0" w:color="auto"/>
          <w:bottom w:val="single" w:sz="4" w:space="0" w:color="auto"/>
        </w:tblBorders>
        <w:tblCellMar>
          <w:left w:w="70" w:type="dxa"/>
          <w:right w:w="70" w:type="dxa"/>
        </w:tblCellMar>
        <w:tblLook w:val="04A0"/>
      </w:tblPr>
      <w:tblGrid>
        <w:gridCol w:w="1495"/>
        <w:gridCol w:w="1496"/>
        <w:gridCol w:w="1663"/>
        <w:gridCol w:w="1492"/>
      </w:tblGrid>
      <w:tr w:rsidR="00925314" w:rsidRPr="00925314" w:rsidTr="004B48E0">
        <w:trPr>
          <w:trHeight w:val="420"/>
          <w:jc w:val="center"/>
        </w:trPr>
        <w:tc>
          <w:tcPr>
            <w:tcW w:w="2433" w:type="pct"/>
            <w:gridSpan w:val="2"/>
            <w:tcBorders>
              <w:top w:val="single" w:sz="4" w:space="0" w:color="auto"/>
              <w:bottom w:val="single" w:sz="4" w:space="0" w:color="auto"/>
            </w:tcBorders>
            <w:vAlign w:val="center"/>
            <w:hideMark/>
          </w:tcPr>
          <w:p w:rsidR="00925314" w:rsidRPr="00925314" w:rsidRDefault="00925314" w:rsidP="00925314">
            <w:pPr>
              <w:spacing w:line="240" w:lineRule="auto"/>
              <w:ind w:firstLine="0"/>
              <w:jc w:val="left"/>
              <w:rPr>
                <w:rFonts w:eastAsia="Times New Roman" w:cs="Times New Roman"/>
                <w:color w:val="auto"/>
                <w:sz w:val="20"/>
                <w:szCs w:val="24"/>
                <w:lang w:eastAsia="es-PE"/>
              </w:rPr>
            </w:pPr>
          </w:p>
        </w:tc>
        <w:tc>
          <w:tcPr>
            <w:tcW w:w="1353"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f</w:t>
            </w:r>
          </w:p>
        </w:tc>
        <w:tc>
          <w:tcPr>
            <w:tcW w:w="1215"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w:t>
            </w:r>
          </w:p>
        </w:tc>
      </w:tr>
      <w:tr w:rsidR="00925314" w:rsidRPr="00925314" w:rsidTr="004B48E0">
        <w:trPr>
          <w:trHeight w:val="420"/>
          <w:jc w:val="center"/>
        </w:trPr>
        <w:tc>
          <w:tcPr>
            <w:tcW w:w="1216" w:type="pct"/>
            <w:vMerge w:val="restar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Sexo</w:t>
            </w:r>
          </w:p>
        </w:tc>
        <w:tc>
          <w:tcPr>
            <w:tcW w:w="1216" w:type="pct"/>
            <w:tcBorders>
              <w:top w:val="single" w:sz="4" w:space="0" w:color="auto"/>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Masculino</w:t>
            </w:r>
          </w:p>
        </w:tc>
        <w:tc>
          <w:tcPr>
            <w:tcW w:w="1353" w:type="pct"/>
            <w:tcBorders>
              <w:top w:val="single" w:sz="4" w:space="0" w:color="auto"/>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182</w:t>
            </w:r>
          </w:p>
        </w:tc>
        <w:tc>
          <w:tcPr>
            <w:tcW w:w="1215" w:type="pct"/>
            <w:tcBorders>
              <w:top w:val="single" w:sz="4" w:space="0" w:color="auto"/>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52.3%</w:t>
            </w:r>
          </w:p>
        </w:tc>
      </w:tr>
      <w:tr w:rsidR="00925314" w:rsidRPr="00925314" w:rsidTr="004B48E0">
        <w:trPr>
          <w:trHeight w:val="420"/>
          <w:jc w:val="center"/>
        </w:trPr>
        <w:tc>
          <w:tcPr>
            <w:tcW w:w="1216"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216" w:type="pct"/>
            <w:tcBorders>
              <w:top w:val="nil"/>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Femenino</w:t>
            </w:r>
          </w:p>
        </w:tc>
        <w:tc>
          <w:tcPr>
            <w:tcW w:w="1353"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166</w:t>
            </w:r>
          </w:p>
        </w:tc>
        <w:tc>
          <w:tcPr>
            <w:tcW w:w="1215"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47.7%</w:t>
            </w:r>
          </w:p>
        </w:tc>
      </w:tr>
      <w:tr w:rsidR="00925314" w:rsidRPr="00925314" w:rsidTr="004B48E0">
        <w:trPr>
          <w:trHeight w:val="420"/>
          <w:jc w:val="center"/>
        </w:trPr>
        <w:tc>
          <w:tcPr>
            <w:tcW w:w="1216"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216"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353"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215"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bl>
    <w:p w:rsidR="00925314" w:rsidRDefault="00925314" w:rsidP="00C7614B">
      <w:pPr>
        <w:spacing w:after="160" w:line="259" w:lineRule="auto"/>
        <w:ind w:left="708"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C7614B" w:rsidRDefault="00C7614B" w:rsidP="00C7614B">
      <w:pPr>
        <w:spacing w:after="160" w:line="259" w:lineRule="auto"/>
        <w:ind w:left="708" w:firstLine="708"/>
        <w:jc w:val="left"/>
        <w:rPr>
          <w:rFonts w:eastAsia="Times New Roman" w:cs="Times New Roman"/>
          <w:color w:val="auto"/>
          <w:szCs w:val="24"/>
          <w:lang w:eastAsia="es-PE"/>
        </w:rPr>
      </w:pPr>
    </w:p>
    <w:p w:rsidR="004B48E0" w:rsidRDefault="004B48E0" w:rsidP="00C7614B">
      <w:pPr>
        <w:spacing w:after="160" w:line="259" w:lineRule="auto"/>
        <w:ind w:left="708" w:firstLine="708"/>
        <w:jc w:val="left"/>
        <w:rPr>
          <w:rFonts w:eastAsia="Times New Roman" w:cs="Times New Roman"/>
          <w:color w:val="auto"/>
          <w:szCs w:val="24"/>
          <w:lang w:eastAsia="es-PE"/>
        </w:rPr>
      </w:pPr>
    </w:p>
    <w:p w:rsidR="004B48E0" w:rsidRPr="00925314" w:rsidRDefault="004B48E0" w:rsidP="00C7614B">
      <w:pPr>
        <w:spacing w:after="160" w:line="259" w:lineRule="auto"/>
        <w:ind w:left="708" w:firstLine="708"/>
        <w:jc w:val="left"/>
        <w:rPr>
          <w:rFonts w:eastAsia="Times New Roman" w:cs="Times New Roman"/>
          <w:color w:val="auto"/>
          <w:szCs w:val="24"/>
          <w:lang w:eastAsia="es-PE"/>
        </w:rPr>
      </w:pPr>
    </w:p>
    <w:p w:rsidR="00925314" w:rsidRPr="00925314" w:rsidRDefault="00925314" w:rsidP="00925314">
      <w:pPr>
        <w:spacing w:after="160" w:line="259" w:lineRule="auto"/>
        <w:ind w:firstLine="0"/>
        <w:jc w:val="left"/>
        <w:rPr>
          <w:rFonts w:eastAsia="Aptos" w:cs="Times New Roman"/>
          <w:b/>
          <w:bCs/>
          <w:color w:val="auto"/>
        </w:rPr>
      </w:pPr>
      <w:bookmarkStart w:id="11" w:name="_Toc207705912"/>
      <w:r w:rsidRPr="00925314">
        <w:rPr>
          <w:rFonts w:eastAsia="Aptos" w:cs="Times New Roman"/>
          <w:b/>
          <w:bCs/>
          <w:color w:val="auto"/>
        </w:rPr>
        <w:lastRenderedPageBreak/>
        <w:t>Prueba de hipótesis</w:t>
      </w:r>
      <w:bookmarkEnd w:id="11"/>
    </w:p>
    <w:p w:rsidR="00925314" w:rsidRPr="00925314" w:rsidRDefault="00925314" w:rsidP="00925314">
      <w:pPr>
        <w:spacing w:after="160" w:line="259" w:lineRule="auto"/>
        <w:ind w:firstLine="0"/>
        <w:jc w:val="left"/>
        <w:rPr>
          <w:rFonts w:eastAsia="Aptos" w:cs="Times New Roman"/>
          <w:b/>
          <w:bCs/>
          <w:color w:val="auto"/>
        </w:rPr>
      </w:pPr>
      <w:r w:rsidRPr="00925314">
        <w:rPr>
          <w:rFonts w:eastAsia="Aptos" w:cs="Times New Roman"/>
          <w:b/>
          <w:bCs/>
          <w:color w:val="auto"/>
        </w:rPr>
        <w:t>Hipótesis general</w:t>
      </w:r>
    </w:p>
    <w:p w:rsidR="00925314" w:rsidRPr="00925314" w:rsidRDefault="00925314" w:rsidP="004B48E0">
      <w:pPr>
        <w:spacing w:after="160"/>
        <w:ind w:firstLine="0"/>
        <w:rPr>
          <w:rFonts w:eastAsia="Aptos" w:cs="Times New Roman"/>
          <w:color w:val="auto"/>
        </w:rPr>
      </w:pPr>
      <w:r w:rsidRPr="00925314">
        <w:rPr>
          <w:rFonts w:eastAsia="Aptos" w:cs="Times New Roman"/>
          <w:color w:val="auto"/>
        </w:rPr>
        <w:t>Existe relación significativa entre el nivel de conocimientos y las prácticas preventivas contra dengue.</w:t>
      </w:r>
    </w:p>
    <w:p w:rsidR="00925314" w:rsidRPr="00925314" w:rsidRDefault="00925314" w:rsidP="004B48E0">
      <w:pPr>
        <w:spacing w:after="120"/>
        <w:ind w:firstLine="0"/>
        <w:jc w:val="left"/>
        <w:rPr>
          <w:rFonts w:eastAsia="Times New Roman" w:cs="Times New Roman"/>
          <w:i/>
          <w:iCs/>
          <w:color w:val="auto"/>
          <w:szCs w:val="24"/>
          <w:lang w:eastAsia="es-PE"/>
        </w:rPr>
      </w:pPr>
      <w:bookmarkStart w:id="12" w:name="_Toc207618311"/>
      <w:bookmarkStart w:id="13" w:name="_Toc214113727"/>
      <w:r w:rsidRPr="00925314">
        <w:rPr>
          <w:rFonts w:eastAsia="Aptos" w:cs="Times New Roman"/>
          <w:b/>
          <w:color w:val="auto"/>
        </w:rPr>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3</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Times New Roman" w:cs="Times New Roman"/>
          <w:i/>
          <w:iCs/>
          <w:color w:val="auto"/>
          <w:szCs w:val="24"/>
          <w:lang w:eastAsia="es-PE"/>
        </w:rPr>
        <w:t>Correlación entre los conocimientos sobre el dengue y la prevención contra el dengue</w:t>
      </w:r>
      <w:bookmarkEnd w:id="12"/>
      <w:bookmarkEnd w:id="13"/>
    </w:p>
    <w:p w:rsidR="00925314" w:rsidRPr="00925314" w:rsidRDefault="00925314" w:rsidP="00C7614B">
      <w:pPr>
        <w:spacing w:after="160" w:line="259" w:lineRule="auto"/>
        <w:ind w:firstLine="0"/>
        <w:jc w:val="center"/>
        <w:rPr>
          <w:rFonts w:eastAsia="Times New Roman" w:cs="Times New Roman"/>
          <w:i/>
          <w:iCs/>
          <w:color w:val="auto"/>
          <w:szCs w:val="24"/>
          <w:lang w:eastAsia="es-PE"/>
        </w:rPr>
      </w:pPr>
      <w:r w:rsidRPr="00925314">
        <w:rPr>
          <w:rFonts w:eastAsia="Times New Roman" w:cs="Times New Roman"/>
          <w:i/>
          <w:iCs/>
          <w:noProof/>
          <w:color w:val="auto"/>
          <w:szCs w:val="24"/>
          <w:lang w:val="es-ES" w:eastAsia="es-ES"/>
        </w:rPr>
        <w:drawing>
          <wp:inline distT="0" distB="0" distL="0" distR="0">
            <wp:extent cx="4000500" cy="1459366"/>
            <wp:effectExtent l="0" t="0" r="0" b="7620"/>
            <wp:docPr id="1979089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9391" name=""/>
                    <pic:cNvPicPr/>
                  </pic:nvPicPr>
                  <pic:blipFill>
                    <a:blip r:embed="rId10"/>
                    <a:stretch>
                      <a:fillRect/>
                    </a:stretch>
                  </pic:blipFill>
                  <pic:spPr>
                    <a:xfrm>
                      <a:off x="0" y="0"/>
                      <a:ext cx="4045529" cy="1475793"/>
                    </a:xfrm>
                    <a:prstGeom prst="rect">
                      <a:avLst/>
                    </a:prstGeom>
                  </pic:spPr>
                </pic:pic>
              </a:graphicData>
            </a:graphic>
          </wp:inline>
        </w:drawing>
      </w:r>
    </w:p>
    <w:p w:rsidR="00925314" w:rsidRPr="00925314" w:rsidRDefault="00925314" w:rsidP="00C7614B">
      <w:pPr>
        <w:spacing w:after="160" w:line="259" w:lineRule="auto"/>
        <w:ind w:left="708"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925314" w:rsidRPr="00925314" w:rsidRDefault="00925314" w:rsidP="004B48E0">
      <w:pPr>
        <w:spacing w:after="160"/>
        <w:rPr>
          <w:rFonts w:eastAsia="Times New Roman" w:cs="Times New Roman"/>
          <w:color w:val="auto"/>
          <w:szCs w:val="24"/>
          <w:lang w:eastAsia="es-PE"/>
        </w:rPr>
      </w:pPr>
      <w:r w:rsidRPr="00925314">
        <w:rPr>
          <w:rFonts w:eastAsia="Aptos" w:cs="Times New Roman"/>
          <w:color w:val="auto"/>
        </w:rPr>
        <w:t>La tabla muestra que existe una correlación positiva significativa de intensidad moderada (rho = 0.427) entre el nivel de conocimientos sobre el dengue y las prácticas preventivas, la cual es estadísticamente significativa (p &lt; 0.01) indicando que a mayor nivel de conocimientos mejores son las prácticas preventivas reportadas.</w:t>
      </w:r>
    </w:p>
    <w:p w:rsidR="00925314" w:rsidRPr="00925314" w:rsidRDefault="00925314" w:rsidP="00925314">
      <w:pPr>
        <w:spacing w:after="160" w:line="259" w:lineRule="auto"/>
        <w:ind w:firstLine="0"/>
        <w:jc w:val="left"/>
        <w:rPr>
          <w:rFonts w:eastAsia="Aptos" w:cs="Times New Roman"/>
          <w:b/>
          <w:bCs/>
          <w:color w:val="auto"/>
        </w:rPr>
      </w:pPr>
      <w:r w:rsidRPr="00925314">
        <w:rPr>
          <w:rFonts w:eastAsia="Aptos" w:cs="Times New Roman"/>
          <w:b/>
          <w:bCs/>
          <w:color w:val="auto"/>
        </w:rPr>
        <w:t>Hipótesis específica 1</w:t>
      </w:r>
    </w:p>
    <w:p w:rsidR="00925314" w:rsidRPr="00925314" w:rsidRDefault="00925314" w:rsidP="00C7614B">
      <w:pPr>
        <w:spacing w:after="160" w:line="480" w:lineRule="auto"/>
        <w:ind w:firstLine="0"/>
        <w:rPr>
          <w:rFonts w:eastAsia="Aptos" w:cs="Times New Roman"/>
          <w:color w:val="auto"/>
        </w:rPr>
      </w:pPr>
      <w:r w:rsidRPr="00925314">
        <w:rPr>
          <w:rFonts w:eastAsia="Aptos" w:cs="Times New Roman"/>
          <w:color w:val="auto"/>
        </w:rPr>
        <w:t xml:space="preserve">El porcentaje de nivel de conocimiento que tienen los estudiantes sobre el dengue es regular. </w:t>
      </w:r>
    </w:p>
    <w:p w:rsidR="00925314" w:rsidRPr="00925314" w:rsidRDefault="00C7614B" w:rsidP="00925314">
      <w:pPr>
        <w:keepNext/>
        <w:spacing w:after="120" w:line="480" w:lineRule="auto"/>
        <w:ind w:firstLine="0"/>
        <w:jc w:val="left"/>
        <w:rPr>
          <w:rFonts w:eastAsia="Aptos" w:cs="Times New Roman"/>
          <w:i/>
          <w:iCs/>
          <w:color w:val="auto"/>
          <w:szCs w:val="24"/>
        </w:rPr>
      </w:pPr>
      <w:bookmarkStart w:id="14" w:name="_Toc206694175"/>
      <w:r w:rsidRPr="00C7614B">
        <w:rPr>
          <w:rFonts w:eastAsia="Aptos" w:cs="Times New Roman"/>
          <w:b/>
          <w:bCs/>
          <w:color w:val="auto"/>
          <w:szCs w:val="24"/>
        </w:rPr>
        <w:t xml:space="preserve">Figura </w:t>
      </w:r>
      <w:r w:rsidR="00F70119" w:rsidRPr="00925314">
        <w:rPr>
          <w:rFonts w:eastAsia="Aptos" w:cs="Times New Roman"/>
          <w:b/>
          <w:bCs/>
          <w:color w:val="auto"/>
          <w:szCs w:val="24"/>
        </w:rPr>
        <w:fldChar w:fldCharType="begin"/>
      </w:r>
      <w:r w:rsidR="00925314" w:rsidRPr="00925314">
        <w:rPr>
          <w:rFonts w:eastAsia="Aptos" w:cs="Times New Roman"/>
          <w:b/>
          <w:bCs/>
          <w:color w:val="auto"/>
          <w:szCs w:val="24"/>
        </w:rPr>
        <w:instrText xml:space="preserve"> SEQ Gráfico \* ARABIC </w:instrText>
      </w:r>
      <w:r w:rsidR="00F70119" w:rsidRPr="00925314">
        <w:rPr>
          <w:rFonts w:eastAsia="Aptos" w:cs="Times New Roman"/>
          <w:b/>
          <w:bCs/>
          <w:color w:val="auto"/>
          <w:szCs w:val="24"/>
        </w:rPr>
        <w:fldChar w:fldCharType="separate"/>
      </w:r>
      <w:r w:rsidR="00141C30">
        <w:rPr>
          <w:rFonts w:eastAsia="Aptos" w:cs="Times New Roman"/>
          <w:b/>
          <w:bCs/>
          <w:noProof/>
          <w:color w:val="auto"/>
          <w:szCs w:val="24"/>
        </w:rPr>
        <w:t>2</w:t>
      </w:r>
      <w:r w:rsidR="00F70119" w:rsidRPr="00925314">
        <w:rPr>
          <w:rFonts w:eastAsia="Aptos" w:cs="Times New Roman"/>
          <w:b/>
          <w:bCs/>
          <w:color w:val="auto"/>
          <w:szCs w:val="24"/>
        </w:rPr>
        <w:fldChar w:fldCharType="end"/>
      </w:r>
      <w:r w:rsidR="00925314" w:rsidRPr="00925314">
        <w:rPr>
          <w:rFonts w:eastAsia="Aptos" w:cs="Times New Roman"/>
          <w:b/>
          <w:bCs/>
          <w:color w:val="auto"/>
          <w:szCs w:val="24"/>
        </w:rPr>
        <w:br/>
      </w:r>
      <w:r w:rsidR="00925314" w:rsidRPr="00925314">
        <w:rPr>
          <w:rFonts w:eastAsia="Aptos" w:cs="Times New Roman"/>
          <w:color w:val="auto"/>
          <w:szCs w:val="24"/>
        </w:rPr>
        <w:t xml:space="preserve">Nivel de conocimientos </w:t>
      </w:r>
      <w:r w:rsidR="00925314" w:rsidRPr="00925314">
        <w:rPr>
          <w:rFonts w:eastAsia="Aptos" w:cs="Times New Roman"/>
          <w:i/>
          <w:iCs/>
          <w:color w:val="auto"/>
          <w:szCs w:val="24"/>
        </w:rPr>
        <w:t>sobre el dengue en los alumnos de secundaria</w:t>
      </w:r>
      <w:bookmarkEnd w:id="14"/>
    </w:p>
    <w:p w:rsidR="00925314" w:rsidRPr="00925314" w:rsidRDefault="00925314" w:rsidP="00925314">
      <w:pPr>
        <w:spacing w:after="160" w:line="259" w:lineRule="auto"/>
        <w:ind w:firstLine="0"/>
        <w:jc w:val="center"/>
        <w:rPr>
          <w:rFonts w:eastAsia="Times New Roman" w:cs="Times New Roman"/>
          <w:color w:val="auto"/>
          <w:szCs w:val="24"/>
          <w:lang w:eastAsia="es-PE"/>
        </w:rPr>
      </w:pPr>
      <w:r w:rsidRPr="00925314">
        <w:rPr>
          <w:rFonts w:eastAsia="Aptos" w:cs="Times New Roman"/>
          <w:noProof/>
          <w:color w:val="auto"/>
          <w:lang w:val="es-ES" w:eastAsia="es-ES"/>
        </w:rPr>
        <w:drawing>
          <wp:inline distT="0" distB="0" distL="0" distR="0">
            <wp:extent cx="3962400" cy="1552575"/>
            <wp:effectExtent l="0" t="0" r="0" b="9525"/>
            <wp:docPr id="5"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ABBC0E6-DE7C-3F5A-D55C-FA0353816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5314" w:rsidRPr="00925314" w:rsidRDefault="00925314" w:rsidP="004B48E0">
      <w:pPr>
        <w:rPr>
          <w:lang w:eastAsia="es-PE"/>
        </w:rPr>
      </w:pPr>
      <w:r w:rsidRPr="00925314">
        <w:rPr>
          <w:i/>
          <w:iCs/>
          <w:lang w:eastAsia="es-PE"/>
        </w:rPr>
        <w:t>Nota:</w:t>
      </w:r>
      <w:r w:rsidRPr="00925314">
        <w:rPr>
          <w:lang w:eastAsia="es-PE"/>
        </w:rPr>
        <w:t xml:space="preserve"> La mayoría de los alumnos (57.8%) posee un conocimiento medio sobre el dengue, un 24.1% tiene un conocimiento bajo y solo el 18.1% demuestra un nivel alto de conocimiento.</w:t>
      </w:r>
    </w:p>
    <w:p w:rsidR="00925314" w:rsidRPr="00925314" w:rsidRDefault="00925314" w:rsidP="004B48E0">
      <w:pPr>
        <w:keepNext/>
        <w:spacing w:after="120"/>
        <w:ind w:firstLine="0"/>
        <w:jc w:val="left"/>
        <w:rPr>
          <w:rFonts w:eastAsia="Times New Roman" w:cs="Times New Roman"/>
          <w:i/>
          <w:iCs/>
          <w:color w:val="0E2841"/>
          <w:sz w:val="18"/>
          <w:szCs w:val="24"/>
          <w:lang w:eastAsia="es-PE"/>
        </w:rPr>
      </w:pPr>
      <w:bookmarkStart w:id="15" w:name="_Toc207618312"/>
      <w:bookmarkStart w:id="16" w:name="_Toc214113728"/>
      <w:r w:rsidRPr="00925314">
        <w:rPr>
          <w:rFonts w:eastAsia="Aptos" w:cs="Times New Roman"/>
          <w:b/>
          <w:color w:val="auto"/>
        </w:rPr>
        <w:lastRenderedPageBreak/>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4</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Aptos" w:cs="Times New Roman"/>
          <w:i/>
          <w:iCs/>
          <w:color w:val="auto"/>
          <w:szCs w:val="24"/>
        </w:rPr>
        <w:t>Nivel de conocimientos sobre el dengue en los alumnos de secundaria</w:t>
      </w:r>
      <w:bookmarkEnd w:id="15"/>
      <w:bookmarkEnd w:id="16"/>
    </w:p>
    <w:tbl>
      <w:tblPr>
        <w:tblW w:w="3860" w:type="pct"/>
        <w:jc w:val="center"/>
        <w:tblBorders>
          <w:top w:val="single" w:sz="4" w:space="0" w:color="auto"/>
          <w:bottom w:val="single" w:sz="4" w:space="0" w:color="auto"/>
        </w:tblBorders>
        <w:tblCellMar>
          <w:left w:w="70" w:type="dxa"/>
          <w:right w:w="70" w:type="dxa"/>
        </w:tblCellMar>
        <w:tblLook w:val="04A0"/>
      </w:tblPr>
      <w:tblGrid>
        <w:gridCol w:w="2213"/>
        <w:gridCol w:w="1441"/>
        <w:gridCol w:w="1773"/>
        <w:gridCol w:w="1650"/>
      </w:tblGrid>
      <w:tr w:rsidR="00925314" w:rsidRPr="00925314" w:rsidTr="00C7614B">
        <w:trPr>
          <w:trHeight w:val="266"/>
          <w:jc w:val="center"/>
        </w:trPr>
        <w:tc>
          <w:tcPr>
            <w:tcW w:w="2581" w:type="pct"/>
            <w:gridSpan w:val="2"/>
            <w:tcBorders>
              <w:top w:val="single" w:sz="4" w:space="0" w:color="auto"/>
              <w:bottom w:val="single" w:sz="4" w:space="0" w:color="auto"/>
            </w:tcBorders>
            <w:vAlign w:val="center"/>
            <w:hideMark/>
          </w:tcPr>
          <w:p w:rsidR="00925314" w:rsidRPr="00925314" w:rsidRDefault="00925314" w:rsidP="00925314">
            <w:pPr>
              <w:spacing w:line="240" w:lineRule="auto"/>
              <w:ind w:firstLine="0"/>
              <w:jc w:val="left"/>
              <w:rPr>
                <w:rFonts w:eastAsia="Times New Roman" w:cs="Times New Roman"/>
                <w:b/>
                <w:bCs/>
                <w:color w:val="auto"/>
                <w:sz w:val="20"/>
                <w:szCs w:val="24"/>
                <w:lang w:eastAsia="es-PE"/>
              </w:rPr>
            </w:pPr>
          </w:p>
        </w:tc>
        <w:tc>
          <w:tcPr>
            <w:tcW w:w="1253"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f</w:t>
            </w:r>
          </w:p>
        </w:tc>
        <w:tc>
          <w:tcPr>
            <w:tcW w:w="1166"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w:t>
            </w:r>
          </w:p>
        </w:tc>
      </w:tr>
      <w:tr w:rsidR="00925314" w:rsidRPr="00925314" w:rsidTr="00C7614B">
        <w:trPr>
          <w:trHeight w:val="266"/>
          <w:jc w:val="center"/>
        </w:trPr>
        <w:tc>
          <w:tcPr>
            <w:tcW w:w="1563" w:type="pct"/>
            <w:vMerge w:val="restar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Conocimientos sobre el dengue</w:t>
            </w:r>
          </w:p>
        </w:tc>
        <w:tc>
          <w:tcPr>
            <w:tcW w:w="1018"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Bajo</w:t>
            </w:r>
          </w:p>
        </w:tc>
        <w:tc>
          <w:tcPr>
            <w:tcW w:w="1253"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84</w:t>
            </w:r>
          </w:p>
        </w:tc>
        <w:tc>
          <w:tcPr>
            <w:tcW w:w="1166"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24.1%</w:t>
            </w:r>
          </w:p>
        </w:tc>
      </w:tr>
      <w:tr w:rsidR="00925314" w:rsidRPr="00925314" w:rsidTr="00C7614B">
        <w:trPr>
          <w:trHeight w:val="266"/>
          <w:jc w:val="center"/>
        </w:trPr>
        <w:tc>
          <w:tcPr>
            <w:tcW w:w="156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18" w:type="pct"/>
            <w:tcBorders>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Medio</w:t>
            </w:r>
          </w:p>
        </w:tc>
        <w:tc>
          <w:tcPr>
            <w:tcW w:w="1253"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201</w:t>
            </w:r>
          </w:p>
        </w:tc>
        <w:tc>
          <w:tcPr>
            <w:tcW w:w="1166"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57.8%</w:t>
            </w:r>
          </w:p>
        </w:tc>
      </w:tr>
      <w:tr w:rsidR="00925314" w:rsidRPr="00925314" w:rsidTr="00C7614B">
        <w:trPr>
          <w:trHeight w:val="266"/>
          <w:jc w:val="center"/>
        </w:trPr>
        <w:tc>
          <w:tcPr>
            <w:tcW w:w="156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18" w:type="pct"/>
            <w:tcBorders>
              <w:top w:val="nil"/>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Alto</w:t>
            </w:r>
          </w:p>
        </w:tc>
        <w:tc>
          <w:tcPr>
            <w:tcW w:w="1253"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63</w:t>
            </w:r>
          </w:p>
        </w:tc>
        <w:tc>
          <w:tcPr>
            <w:tcW w:w="1166"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18.1%</w:t>
            </w:r>
          </w:p>
        </w:tc>
      </w:tr>
      <w:tr w:rsidR="00925314" w:rsidRPr="00925314" w:rsidTr="00C7614B">
        <w:trPr>
          <w:trHeight w:val="266"/>
          <w:jc w:val="center"/>
        </w:trPr>
        <w:tc>
          <w:tcPr>
            <w:tcW w:w="156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18"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253"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166"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bl>
    <w:p w:rsidR="00925314" w:rsidRPr="00925314" w:rsidRDefault="00925314" w:rsidP="00C7614B">
      <w:pPr>
        <w:spacing w:after="160" w:line="259" w:lineRule="auto"/>
        <w:ind w:left="708"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925314" w:rsidRPr="00925314" w:rsidRDefault="00925314" w:rsidP="004B48E0">
      <w:pPr>
        <w:rPr>
          <w:lang w:eastAsia="es-PE"/>
        </w:rPr>
      </w:pPr>
      <w:r w:rsidRPr="00925314">
        <w:rPr>
          <w:lang w:eastAsia="es-PE"/>
        </w:rPr>
        <w:t>Con base en los resultados presentados, se acepta la hipótesis específica 1 que planteaba que el nivel de conocimiento sobre el dengue es regular.</w:t>
      </w:r>
    </w:p>
    <w:p w:rsidR="00925314" w:rsidRDefault="00C7614B" w:rsidP="004B48E0">
      <w:pPr>
        <w:keepNext/>
        <w:spacing w:after="120"/>
        <w:ind w:firstLine="0"/>
        <w:jc w:val="left"/>
        <w:rPr>
          <w:rFonts w:eastAsia="Aptos" w:cs="Times New Roman"/>
          <w:i/>
          <w:iCs/>
          <w:color w:val="auto"/>
          <w:szCs w:val="24"/>
        </w:rPr>
      </w:pPr>
      <w:bookmarkStart w:id="17" w:name="_Toc206694176"/>
      <w:r w:rsidRPr="00925314">
        <w:rPr>
          <w:rFonts w:eastAsia="Aptos" w:cs="Times New Roman"/>
          <w:noProof/>
          <w:color w:val="auto"/>
          <w:lang w:val="es-ES" w:eastAsia="es-ES"/>
        </w:rPr>
        <w:drawing>
          <wp:anchor distT="0" distB="0" distL="114300" distR="114300" simplePos="0" relativeHeight="251659264" behindDoc="0" locked="0" layoutInCell="1" allowOverlap="1">
            <wp:simplePos x="0" y="0"/>
            <wp:positionH relativeFrom="column">
              <wp:posOffset>990600</wp:posOffset>
            </wp:positionH>
            <wp:positionV relativeFrom="paragraph">
              <wp:posOffset>615315</wp:posOffset>
            </wp:positionV>
            <wp:extent cx="3657600" cy="1571625"/>
            <wp:effectExtent l="0" t="0" r="0" b="9525"/>
            <wp:wrapNone/>
            <wp:docPr id="6"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212989E-5BF4-4C24-B799-846889BAF9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eastAsia="Aptos" w:cs="Times New Roman"/>
          <w:b/>
          <w:bCs/>
          <w:color w:val="auto"/>
          <w:szCs w:val="24"/>
        </w:rPr>
        <w:t>Figura</w:t>
      </w:r>
      <w:r w:rsidR="00F70119" w:rsidRPr="00925314">
        <w:rPr>
          <w:rFonts w:eastAsia="Aptos" w:cs="Times New Roman"/>
          <w:b/>
          <w:bCs/>
          <w:color w:val="auto"/>
          <w:szCs w:val="24"/>
        </w:rPr>
        <w:fldChar w:fldCharType="begin"/>
      </w:r>
      <w:r w:rsidR="00925314" w:rsidRPr="00925314">
        <w:rPr>
          <w:rFonts w:eastAsia="Aptos" w:cs="Times New Roman"/>
          <w:b/>
          <w:bCs/>
          <w:color w:val="auto"/>
          <w:szCs w:val="24"/>
        </w:rPr>
        <w:instrText xml:space="preserve"> SEQ Gráfico \* ARABIC </w:instrText>
      </w:r>
      <w:r w:rsidR="00F70119" w:rsidRPr="00925314">
        <w:rPr>
          <w:rFonts w:eastAsia="Aptos" w:cs="Times New Roman"/>
          <w:b/>
          <w:bCs/>
          <w:color w:val="auto"/>
          <w:szCs w:val="24"/>
        </w:rPr>
        <w:fldChar w:fldCharType="separate"/>
      </w:r>
      <w:r w:rsidR="00141C30">
        <w:rPr>
          <w:rFonts w:eastAsia="Aptos" w:cs="Times New Roman"/>
          <w:b/>
          <w:bCs/>
          <w:noProof/>
          <w:color w:val="auto"/>
          <w:szCs w:val="24"/>
        </w:rPr>
        <w:t>3</w:t>
      </w:r>
      <w:r w:rsidR="00F70119" w:rsidRPr="00925314">
        <w:rPr>
          <w:rFonts w:eastAsia="Aptos" w:cs="Times New Roman"/>
          <w:b/>
          <w:bCs/>
          <w:color w:val="auto"/>
          <w:szCs w:val="24"/>
        </w:rPr>
        <w:fldChar w:fldCharType="end"/>
      </w:r>
      <w:r w:rsidR="00925314" w:rsidRPr="00925314">
        <w:rPr>
          <w:rFonts w:eastAsia="Aptos" w:cs="Times New Roman"/>
          <w:b/>
          <w:bCs/>
          <w:color w:val="auto"/>
          <w:szCs w:val="24"/>
        </w:rPr>
        <w:br/>
      </w:r>
      <w:r w:rsidR="00925314" w:rsidRPr="00925314">
        <w:rPr>
          <w:rFonts w:eastAsia="Aptos" w:cs="Times New Roman"/>
          <w:i/>
          <w:iCs/>
          <w:color w:val="auto"/>
          <w:szCs w:val="24"/>
        </w:rPr>
        <w:t>Nivel de las dimensiones de conocimientos sobre el dengue en los alumnos de secundaria</w:t>
      </w:r>
      <w:bookmarkEnd w:id="17"/>
    </w:p>
    <w:p w:rsidR="00C7614B" w:rsidRDefault="00C7614B" w:rsidP="00925314">
      <w:pPr>
        <w:keepNext/>
        <w:spacing w:after="120" w:line="480" w:lineRule="auto"/>
        <w:ind w:firstLine="0"/>
        <w:jc w:val="left"/>
        <w:rPr>
          <w:rFonts w:eastAsia="Aptos" w:cs="Times New Roman"/>
          <w:i/>
          <w:iCs/>
          <w:color w:val="auto"/>
          <w:szCs w:val="24"/>
        </w:rPr>
      </w:pPr>
    </w:p>
    <w:p w:rsidR="00C7614B" w:rsidRPr="00925314" w:rsidRDefault="00C7614B" w:rsidP="00925314">
      <w:pPr>
        <w:keepNext/>
        <w:spacing w:after="120" w:line="480" w:lineRule="auto"/>
        <w:ind w:firstLine="0"/>
        <w:jc w:val="left"/>
        <w:rPr>
          <w:rFonts w:eastAsia="Aptos" w:cs="Times New Roman"/>
          <w:i/>
          <w:iCs/>
          <w:color w:val="auto"/>
          <w:szCs w:val="24"/>
        </w:rPr>
      </w:pPr>
    </w:p>
    <w:p w:rsidR="00925314" w:rsidRPr="00925314" w:rsidRDefault="00925314" w:rsidP="00925314">
      <w:pPr>
        <w:spacing w:after="160" w:line="259" w:lineRule="auto"/>
        <w:ind w:firstLine="0"/>
        <w:jc w:val="left"/>
        <w:rPr>
          <w:rFonts w:eastAsia="Times New Roman" w:cs="Times New Roman"/>
          <w:color w:val="auto"/>
          <w:szCs w:val="24"/>
          <w:lang w:eastAsia="es-PE"/>
        </w:rPr>
      </w:pPr>
    </w:p>
    <w:p w:rsidR="004B48E0" w:rsidRDefault="004B48E0" w:rsidP="004B48E0">
      <w:pPr>
        <w:spacing w:after="120"/>
        <w:ind w:firstLine="0"/>
        <w:rPr>
          <w:lang w:eastAsia="es-PE"/>
        </w:rPr>
      </w:pPr>
    </w:p>
    <w:p w:rsidR="004B48E0" w:rsidRDefault="004B48E0" w:rsidP="004B48E0">
      <w:pPr>
        <w:spacing w:after="120"/>
        <w:ind w:firstLine="0"/>
        <w:rPr>
          <w:lang w:eastAsia="es-PE"/>
        </w:rPr>
      </w:pPr>
    </w:p>
    <w:p w:rsidR="00925314" w:rsidRPr="00925314" w:rsidRDefault="00925314" w:rsidP="004B48E0">
      <w:pPr>
        <w:spacing w:after="120"/>
        <w:ind w:firstLine="0"/>
        <w:rPr>
          <w:rFonts w:eastAsia="Times New Roman" w:cs="Times New Roman"/>
          <w:color w:val="auto"/>
          <w:szCs w:val="24"/>
          <w:lang w:eastAsia="es-PE"/>
        </w:rPr>
      </w:pPr>
      <w:r w:rsidRPr="00925314">
        <w:rPr>
          <w:lang w:eastAsia="es-PE"/>
        </w:rPr>
        <w:t>Nota: El conocimiento sobre las características del dengue es predominantemente medio (59.2%) mientras que un 27.0% es bajo y solo 13.8% es alto, por otro lado, el conocimiento sobre las condiciones de</w:t>
      </w:r>
      <w:r w:rsidRPr="00925314">
        <w:rPr>
          <w:rFonts w:eastAsia="Times New Roman" w:cs="Times New Roman"/>
          <w:color w:val="auto"/>
          <w:szCs w:val="24"/>
          <w:lang w:eastAsia="es-PE"/>
        </w:rPr>
        <w:t xml:space="preserve"> riesgo es mayormente medio (81.0%) con un nivel alto en el 18.7% y un nivel bajo (0.3%).</w:t>
      </w:r>
    </w:p>
    <w:p w:rsidR="00925314" w:rsidRPr="00925314" w:rsidRDefault="00925314" w:rsidP="00925314">
      <w:pPr>
        <w:keepNext/>
        <w:spacing w:after="120" w:line="480" w:lineRule="auto"/>
        <w:ind w:firstLine="0"/>
        <w:jc w:val="left"/>
        <w:rPr>
          <w:rFonts w:eastAsia="Times New Roman" w:cs="Times New Roman"/>
          <w:i/>
          <w:iCs/>
          <w:color w:val="0E2841"/>
          <w:sz w:val="18"/>
          <w:szCs w:val="24"/>
          <w:lang w:eastAsia="es-PE"/>
        </w:rPr>
      </w:pPr>
      <w:bookmarkStart w:id="18" w:name="_Toc207618313"/>
      <w:bookmarkStart w:id="19" w:name="_Toc214113729"/>
      <w:r w:rsidRPr="00925314">
        <w:rPr>
          <w:rFonts w:eastAsia="Aptos" w:cs="Times New Roman"/>
          <w:b/>
          <w:color w:val="auto"/>
        </w:rPr>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5</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Aptos" w:cs="Times New Roman"/>
          <w:i/>
          <w:iCs/>
          <w:color w:val="auto"/>
          <w:szCs w:val="24"/>
        </w:rPr>
        <w:t>Nivel de las dimensiones de conocimientos sobre el dengue en los alumnos de secundaria</w:t>
      </w:r>
      <w:bookmarkEnd w:id="18"/>
      <w:bookmarkEnd w:id="19"/>
    </w:p>
    <w:tbl>
      <w:tblPr>
        <w:tblW w:w="4667" w:type="pct"/>
        <w:jc w:val="center"/>
        <w:tblBorders>
          <w:top w:val="single" w:sz="4" w:space="0" w:color="auto"/>
          <w:bottom w:val="single" w:sz="4" w:space="0" w:color="auto"/>
        </w:tblBorders>
        <w:tblCellMar>
          <w:left w:w="70" w:type="dxa"/>
          <w:right w:w="70" w:type="dxa"/>
        </w:tblCellMar>
        <w:tblLook w:val="04A0"/>
      </w:tblPr>
      <w:tblGrid>
        <w:gridCol w:w="2606"/>
        <w:gridCol w:w="1764"/>
        <w:gridCol w:w="2177"/>
        <w:gridCol w:w="2009"/>
      </w:tblGrid>
      <w:tr w:rsidR="00925314" w:rsidRPr="00925314" w:rsidTr="00C7614B">
        <w:trPr>
          <w:trHeight w:val="266"/>
          <w:jc w:val="center"/>
        </w:trPr>
        <w:tc>
          <w:tcPr>
            <w:tcW w:w="2554" w:type="pct"/>
            <w:gridSpan w:val="2"/>
            <w:tcBorders>
              <w:top w:val="single" w:sz="4" w:space="0" w:color="auto"/>
              <w:bottom w:val="single" w:sz="4" w:space="0" w:color="auto"/>
            </w:tcBorders>
            <w:vAlign w:val="center"/>
            <w:hideMark/>
          </w:tcPr>
          <w:p w:rsidR="00925314" w:rsidRPr="00925314" w:rsidRDefault="00925314" w:rsidP="00925314">
            <w:pPr>
              <w:spacing w:line="240" w:lineRule="auto"/>
              <w:ind w:firstLine="0"/>
              <w:jc w:val="left"/>
              <w:rPr>
                <w:rFonts w:eastAsia="Times New Roman" w:cs="Times New Roman"/>
                <w:b/>
                <w:bCs/>
                <w:color w:val="auto"/>
                <w:sz w:val="20"/>
                <w:szCs w:val="24"/>
                <w:lang w:eastAsia="es-PE"/>
              </w:rPr>
            </w:pPr>
          </w:p>
        </w:tc>
        <w:tc>
          <w:tcPr>
            <w:tcW w:w="1272"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f</w:t>
            </w:r>
          </w:p>
        </w:tc>
        <w:tc>
          <w:tcPr>
            <w:tcW w:w="1174"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w:t>
            </w:r>
          </w:p>
        </w:tc>
      </w:tr>
      <w:tr w:rsidR="00925314" w:rsidRPr="00925314" w:rsidTr="00C7614B">
        <w:trPr>
          <w:trHeight w:val="266"/>
          <w:jc w:val="center"/>
        </w:trPr>
        <w:tc>
          <w:tcPr>
            <w:tcW w:w="1523" w:type="pct"/>
            <w:vMerge w:val="restart"/>
            <w:tcBorders>
              <w:top w:val="single" w:sz="4" w:space="0" w:color="auto"/>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Características del dengue</w:t>
            </w:r>
          </w:p>
        </w:tc>
        <w:tc>
          <w:tcPr>
            <w:tcW w:w="1030" w:type="pct"/>
            <w:tcBorders>
              <w:top w:val="single" w:sz="4" w:space="0" w:color="auto"/>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Bajo</w:t>
            </w:r>
          </w:p>
        </w:tc>
        <w:tc>
          <w:tcPr>
            <w:tcW w:w="1272" w:type="pct"/>
            <w:tcBorders>
              <w:top w:val="single" w:sz="4" w:space="0" w:color="auto"/>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94</w:t>
            </w:r>
          </w:p>
        </w:tc>
        <w:tc>
          <w:tcPr>
            <w:tcW w:w="1174" w:type="pct"/>
            <w:tcBorders>
              <w:top w:val="single" w:sz="4" w:space="0" w:color="auto"/>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27.0%</w:t>
            </w:r>
          </w:p>
        </w:tc>
      </w:tr>
      <w:tr w:rsidR="00925314" w:rsidRPr="00925314" w:rsidTr="00C7614B">
        <w:trPr>
          <w:trHeight w:val="266"/>
          <w:jc w:val="center"/>
        </w:trPr>
        <w:tc>
          <w:tcPr>
            <w:tcW w:w="1523" w:type="pct"/>
            <w:vMerge/>
            <w:tcBorders>
              <w:top w:val="nil"/>
              <w:bottom w:val="nil"/>
            </w:tcBorders>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top w:val="nil"/>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Medio</w:t>
            </w:r>
          </w:p>
        </w:tc>
        <w:tc>
          <w:tcPr>
            <w:tcW w:w="1272" w:type="pct"/>
            <w:tcBorders>
              <w:top w:val="nil"/>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206</w:t>
            </w:r>
          </w:p>
        </w:tc>
        <w:tc>
          <w:tcPr>
            <w:tcW w:w="1174" w:type="pct"/>
            <w:tcBorders>
              <w:top w:val="nil"/>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59.2%</w:t>
            </w:r>
          </w:p>
        </w:tc>
      </w:tr>
      <w:tr w:rsidR="00925314" w:rsidRPr="00925314" w:rsidTr="00C7614B">
        <w:trPr>
          <w:trHeight w:val="266"/>
          <w:jc w:val="center"/>
        </w:trPr>
        <w:tc>
          <w:tcPr>
            <w:tcW w:w="1523" w:type="pct"/>
            <w:vMerge/>
            <w:tcBorders>
              <w:top w:val="nil"/>
              <w:bottom w:val="nil"/>
            </w:tcBorders>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top w:val="nil"/>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Alto</w:t>
            </w:r>
          </w:p>
        </w:tc>
        <w:tc>
          <w:tcPr>
            <w:tcW w:w="1272"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48</w:t>
            </w:r>
          </w:p>
        </w:tc>
        <w:tc>
          <w:tcPr>
            <w:tcW w:w="1174"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13.8%</w:t>
            </w:r>
          </w:p>
        </w:tc>
      </w:tr>
      <w:tr w:rsidR="00925314" w:rsidRPr="00925314" w:rsidTr="00C7614B">
        <w:trPr>
          <w:trHeight w:val="266"/>
          <w:jc w:val="center"/>
        </w:trPr>
        <w:tc>
          <w:tcPr>
            <w:tcW w:w="1523" w:type="pct"/>
            <w:vMerge/>
            <w:tcBorders>
              <w:top w:val="nil"/>
              <w:bottom w:val="single" w:sz="4" w:space="0" w:color="auto"/>
            </w:tcBorders>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272" w:type="pct"/>
            <w:tcBorders>
              <w:top w:val="single" w:sz="4" w:space="0" w:color="auto"/>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174" w:type="pct"/>
            <w:tcBorders>
              <w:top w:val="single" w:sz="4" w:space="0" w:color="auto"/>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r w:rsidR="00925314" w:rsidRPr="00925314" w:rsidTr="00C7614B">
        <w:trPr>
          <w:trHeight w:val="266"/>
          <w:jc w:val="center"/>
        </w:trPr>
        <w:tc>
          <w:tcPr>
            <w:tcW w:w="1523" w:type="pct"/>
            <w:vMerge w:val="restar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Condiciones del riesgo del dengue</w:t>
            </w:r>
          </w:p>
        </w:tc>
        <w:tc>
          <w:tcPr>
            <w:tcW w:w="1030"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Bajo</w:t>
            </w:r>
          </w:p>
        </w:tc>
        <w:tc>
          <w:tcPr>
            <w:tcW w:w="1272"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w:t>
            </w:r>
          </w:p>
        </w:tc>
        <w:tc>
          <w:tcPr>
            <w:tcW w:w="1174"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0.3%</w:t>
            </w:r>
          </w:p>
        </w:tc>
      </w:tr>
      <w:tr w:rsidR="00925314" w:rsidRPr="00925314" w:rsidTr="00C7614B">
        <w:trPr>
          <w:trHeight w:val="266"/>
          <w:jc w:val="center"/>
        </w:trPr>
        <w:tc>
          <w:tcPr>
            <w:tcW w:w="152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Medio</w:t>
            </w:r>
          </w:p>
        </w:tc>
        <w:tc>
          <w:tcPr>
            <w:tcW w:w="1272"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282</w:t>
            </w:r>
          </w:p>
        </w:tc>
        <w:tc>
          <w:tcPr>
            <w:tcW w:w="1174"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81.0%</w:t>
            </w:r>
          </w:p>
        </w:tc>
      </w:tr>
      <w:tr w:rsidR="00925314" w:rsidRPr="00925314" w:rsidTr="00C7614B">
        <w:trPr>
          <w:trHeight w:val="266"/>
          <w:jc w:val="center"/>
        </w:trPr>
        <w:tc>
          <w:tcPr>
            <w:tcW w:w="152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top w:val="nil"/>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Alto</w:t>
            </w:r>
          </w:p>
        </w:tc>
        <w:tc>
          <w:tcPr>
            <w:tcW w:w="1272"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65</w:t>
            </w:r>
          </w:p>
        </w:tc>
        <w:tc>
          <w:tcPr>
            <w:tcW w:w="1174"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18.7%</w:t>
            </w:r>
          </w:p>
        </w:tc>
      </w:tr>
      <w:tr w:rsidR="00925314" w:rsidRPr="00925314" w:rsidTr="00C7614B">
        <w:trPr>
          <w:trHeight w:val="266"/>
          <w:jc w:val="center"/>
        </w:trPr>
        <w:tc>
          <w:tcPr>
            <w:tcW w:w="1523"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030"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272"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174"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bl>
    <w:p w:rsidR="00925314" w:rsidRDefault="00925314" w:rsidP="00C7614B">
      <w:pPr>
        <w:spacing w:after="160" w:line="259" w:lineRule="auto"/>
        <w:ind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4B48E0" w:rsidRPr="00925314" w:rsidRDefault="004B48E0" w:rsidP="00C7614B">
      <w:pPr>
        <w:spacing w:after="160" w:line="259" w:lineRule="auto"/>
        <w:ind w:firstLine="708"/>
        <w:jc w:val="left"/>
        <w:rPr>
          <w:rFonts w:eastAsia="Times New Roman" w:cs="Times New Roman"/>
          <w:color w:val="auto"/>
          <w:szCs w:val="24"/>
          <w:lang w:eastAsia="es-PE"/>
        </w:rPr>
      </w:pPr>
    </w:p>
    <w:p w:rsidR="00925314" w:rsidRPr="00925314" w:rsidRDefault="00925314" w:rsidP="00925314">
      <w:pPr>
        <w:spacing w:after="160" w:line="259" w:lineRule="auto"/>
        <w:ind w:firstLine="0"/>
        <w:jc w:val="left"/>
        <w:rPr>
          <w:rFonts w:eastAsia="Aptos" w:cs="Times New Roman"/>
          <w:b/>
          <w:bCs/>
          <w:color w:val="auto"/>
        </w:rPr>
      </w:pPr>
      <w:r w:rsidRPr="00925314">
        <w:rPr>
          <w:rFonts w:eastAsia="Aptos" w:cs="Times New Roman"/>
          <w:b/>
          <w:bCs/>
          <w:color w:val="auto"/>
        </w:rPr>
        <w:lastRenderedPageBreak/>
        <w:t>Hipótesis específica 2</w:t>
      </w:r>
    </w:p>
    <w:p w:rsidR="00925314" w:rsidRPr="00925314" w:rsidRDefault="00925314" w:rsidP="004B48E0">
      <w:pPr>
        <w:spacing w:after="160"/>
        <w:ind w:firstLine="0"/>
        <w:rPr>
          <w:rFonts w:eastAsia="Aptos" w:cs="Times New Roman"/>
          <w:color w:val="auto"/>
        </w:rPr>
      </w:pPr>
      <w:r w:rsidRPr="00925314">
        <w:rPr>
          <w:rFonts w:eastAsia="Aptos" w:cs="Times New Roman"/>
          <w:color w:val="auto"/>
        </w:rPr>
        <w:t xml:space="preserve"> El porcentaje de nivel de conocimiento sobre prácticas preventivas contra el dengue es regular.</w:t>
      </w:r>
    </w:p>
    <w:p w:rsidR="00925314" w:rsidRPr="00925314" w:rsidRDefault="004B48E0" w:rsidP="004B48E0">
      <w:pPr>
        <w:keepNext/>
        <w:spacing w:after="120"/>
        <w:ind w:firstLine="0"/>
        <w:jc w:val="left"/>
        <w:rPr>
          <w:rFonts w:eastAsia="Aptos" w:cs="Times New Roman"/>
          <w:i/>
          <w:iCs/>
          <w:color w:val="auto"/>
          <w:szCs w:val="24"/>
        </w:rPr>
      </w:pPr>
      <w:bookmarkStart w:id="20" w:name="_Toc206694177"/>
      <w:r w:rsidRPr="00925314">
        <w:rPr>
          <w:rFonts w:eastAsia="Aptos" w:cs="Times New Roman"/>
          <w:noProof/>
          <w:color w:val="auto"/>
          <w:lang w:val="es-ES" w:eastAsia="es-ES"/>
        </w:rPr>
        <w:drawing>
          <wp:anchor distT="0" distB="0" distL="114300" distR="114300" simplePos="0" relativeHeight="251662336" behindDoc="0" locked="0" layoutInCell="1" allowOverlap="1">
            <wp:simplePos x="0" y="0"/>
            <wp:positionH relativeFrom="column">
              <wp:posOffset>800100</wp:posOffset>
            </wp:positionH>
            <wp:positionV relativeFrom="paragraph">
              <wp:posOffset>516255</wp:posOffset>
            </wp:positionV>
            <wp:extent cx="4257675" cy="1247775"/>
            <wp:effectExtent l="0" t="0" r="9525" b="9525"/>
            <wp:wrapNone/>
            <wp:docPr id="7"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028E16C-8A16-A23E-F9E8-7B60BA95D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C7614B">
        <w:rPr>
          <w:rFonts w:eastAsia="Aptos" w:cs="Times New Roman"/>
          <w:b/>
          <w:bCs/>
          <w:color w:val="auto"/>
          <w:szCs w:val="24"/>
        </w:rPr>
        <w:t>Figura</w:t>
      </w:r>
      <w:r w:rsidR="00F70119" w:rsidRPr="00925314">
        <w:rPr>
          <w:rFonts w:eastAsia="Aptos" w:cs="Times New Roman"/>
          <w:b/>
          <w:bCs/>
          <w:color w:val="auto"/>
          <w:szCs w:val="24"/>
        </w:rPr>
        <w:fldChar w:fldCharType="begin"/>
      </w:r>
      <w:r w:rsidR="00925314" w:rsidRPr="00925314">
        <w:rPr>
          <w:rFonts w:eastAsia="Aptos" w:cs="Times New Roman"/>
          <w:b/>
          <w:bCs/>
          <w:color w:val="auto"/>
          <w:szCs w:val="24"/>
        </w:rPr>
        <w:instrText xml:space="preserve"> SEQ Gráfico \* ARABIC </w:instrText>
      </w:r>
      <w:r w:rsidR="00F70119" w:rsidRPr="00925314">
        <w:rPr>
          <w:rFonts w:eastAsia="Aptos" w:cs="Times New Roman"/>
          <w:b/>
          <w:bCs/>
          <w:color w:val="auto"/>
          <w:szCs w:val="24"/>
        </w:rPr>
        <w:fldChar w:fldCharType="separate"/>
      </w:r>
      <w:r w:rsidR="00141C30">
        <w:rPr>
          <w:rFonts w:eastAsia="Aptos" w:cs="Times New Roman"/>
          <w:b/>
          <w:bCs/>
          <w:noProof/>
          <w:color w:val="auto"/>
          <w:szCs w:val="24"/>
        </w:rPr>
        <w:t>4</w:t>
      </w:r>
      <w:r w:rsidR="00F70119" w:rsidRPr="00925314">
        <w:rPr>
          <w:rFonts w:eastAsia="Aptos" w:cs="Times New Roman"/>
          <w:b/>
          <w:bCs/>
          <w:color w:val="auto"/>
          <w:szCs w:val="24"/>
        </w:rPr>
        <w:fldChar w:fldCharType="end"/>
      </w:r>
      <w:r w:rsidR="00925314" w:rsidRPr="00925314">
        <w:rPr>
          <w:rFonts w:eastAsia="Aptos" w:cs="Times New Roman"/>
          <w:b/>
          <w:bCs/>
          <w:color w:val="auto"/>
          <w:szCs w:val="24"/>
        </w:rPr>
        <w:br/>
      </w:r>
      <w:r w:rsidR="00925314" w:rsidRPr="00925314">
        <w:rPr>
          <w:rFonts w:eastAsia="Aptos" w:cs="Times New Roman"/>
          <w:i/>
          <w:iCs/>
          <w:color w:val="auto"/>
          <w:szCs w:val="24"/>
        </w:rPr>
        <w:t>Nivel de conocimientos sobre prevención contra el dengue en los alumnos de secundaria</w:t>
      </w:r>
      <w:bookmarkEnd w:id="20"/>
    </w:p>
    <w:p w:rsidR="00925314" w:rsidRPr="00925314" w:rsidRDefault="00925314" w:rsidP="00925314">
      <w:pPr>
        <w:spacing w:before="100" w:beforeAutospacing="1" w:line="480" w:lineRule="auto"/>
        <w:ind w:firstLine="0"/>
        <w:jc w:val="center"/>
        <w:rPr>
          <w:rFonts w:eastAsia="Times New Roman" w:cs="Times New Roman"/>
          <w:color w:val="auto"/>
          <w:szCs w:val="24"/>
          <w:lang w:eastAsia="es-PE"/>
        </w:rPr>
      </w:pPr>
    </w:p>
    <w:p w:rsidR="004B48E0" w:rsidRDefault="004B48E0" w:rsidP="004B48E0">
      <w:pPr>
        <w:rPr>
          <w:i/>
          <w:iCs/>
          <w:lang w:eastAsia="es-PE"/>
        </w:rPr>
      </w:pPr>
    </w:p>
    <w:p w:rsidR="004B48E0" w:rsidRDefault="004B48E0" w:rsidP="004B48E0">
      <w:pPr>
        <w:rPr>
          <w:i/>
          <w:iCs/>
          <w:lang w:eastAsia="es-PE"/>
        </w:rPr>
      </w:pPr>
    </w:p>
    <w:p w:rsidR="004B48E0" w:rsidRDefault="004B48E0" w:rsidP="004B48E0">
      <w:pPr>
        <w:rPr>
          <w:i/>
          <w:iCs/>
          <w:lang w:eastAsia="es-PE"/>
        </w:rPr>
      </w:pPr>
    </w:p>
    <w:p w:rsidR="00925314" w:rsidRPr="00925314" w:rsidRDefault="00925314" w:rsidP="004B48E0">
      <w:pPr>
        <w:rPr>
          <w:lang w:eastAsia="es-PE"/>
        </w:rPr>
      </w:pPr>
      <w:r w:rsidRPr="00925314">
        <w:rPr>
          <w:i/>
          <w:iCs/>
          <w:lang w:eastAsia="es-PE"/>
        </w:rPr>
        <w:t>Nota:</w:t>
      </w:r>
      <w:r w:rsidRPr="00925314">
        <w:rPr>
          <w:lang w:eastAsia="es-PE"/>
        </w:rPr>
        <w:t xml:space="preserve"> El conocimiento sobre prevención del dengue es mayoritariamente bajo (46.8%), un 30.7% tiene un nivel medio y solo el 22.4% alcanza un nivel alto.</w:t>
      </w:r>
    </w:p>
    <w:p w:rsidR="00925314" w:rsidRPr="00925314" w:rsidRDefault="00925314" w:rsidP="00925314">
      <w:pPr>
        <w:keepNext/>
        <w:spacing w:after="120" w:line="480" w:lineRule="auto"/>
        <w:ind w:firstLine="0"/>
        <w:jc w:val="left"/>
        <w:rPr>
          <w:rFonts w:eastAsia="Times New Roman" w:cs="Times New Roman"/>
          <w:i/>
          <w:iCs/>
          <w:color w:val="0E2841"/>
          <w:sz w:val="18"/>
          <w:szCs w:val="24"/>
          <w:lang w:eastAsia="es-PE"/>
        </w:rPr>
      </w:pPr>
      <w:bookmarkStart w:id="21" w:name="_Toc207618314"/>
      <w:bookmarkStart w:id="22" w:name="_Toc214113730"/>
      <w:r w:rsidRPr="00925314">
        <w:rPr>
          <w:rFonts w:eastAsia="Aptos" w:cs="Times New Roman"/>
          <w:b/>
          <w:color w:val="auto"/>
        </w:rPr>
        <w:t xml:space="preserve">Tabla </w:t>
      </w:r>
      <w:r w:rsidR="00F70119" w:rsidRPr="00925314">
        <w:rPr>
          <w:rFonts w:eastAsia="Aptos" w:cs="Times New Roman"/>
          <w:b/>
          <w:color w:val="auto"/>
        </w:rPr>
        <w:fldChar w:fldCharType="begin"/>
      </w:r>
      <w:r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6</w:t>
      </w:r>
      <w:r w:rsidR="00F70119" w:rsidRPr="00925314">
        <w:rPr>
          <w:rFonts w:eastAsia="Aptos" w:cs="Times New Roman"/>
          <w:b/>
          <w:color w:val="auto"/>
        </w:rPr>
        <w:fldChar w:fldCharType="end"/>
      </w:r>
      <w:r w:rsidRPr="00925314">
        <w:rPr>
          <w:rFonts w:eastAsia="Aptos" w:cs="Times New Roman"/>
          <w:b/>
          <w:bCs/>
          <w:color w:val="auto"/>
          <w:szCs w:val="24"/>
        </w:rPr>
        <w:br/>
      </w:r>
      <w:r w:rsidRPr="00925314">
        <w:rPr>
          <w:rFonts w:eastAsia="Aptos" w:cs="Times New Roman"/>
          <w:i/>
          <w:iCs/>
          <w:color w:val="auto"/>
          <w:szCs w:val="24"/>
        </w:rPr>
        <w:t>Nivel de conocimientos sobre prevención contra el dengue en los alumnos de secundaria</w:t>
      </w:r>
      <w:bookmarkEnd w:id="21"/>
      <w:bookmarkEnd w:id="22"/>
    </w:p>
    <w:tbl>
      <w:tblPr>
        <w:tblW w:w="3950" w:type="pct"/>
        <w:jc w:val="center"/>
        <w:tblBorders>
          <w:top w:val="single" w:sz="4" w:space="0" w:color="auto"/>
          <w:bottom w:val="single" w:sz="4" w:space="0" w:color="auto"/>
        </w:tblBorders>
        <w:tblCellMar>
          <w:left w:w="70" w:type="dxa"/>
          <w:right w:w="70" w:type="dxa"/>
        </w:tblCellMar>
        <w:tblLook w:val="04A0"/>
      </w:tblPr>
      <w:tblGrid>
        <w:gridCol w:w="1761"/>
        <w:gridCol w:w="1761"/>
        <w:gridCol w:w="1960"/>
        <w:gridCol w:w="1760"/>
      </w:tblGrid>
      <w:tr w:rsidR="00925314" w:rsidRPr="00925314" w:rsidTr="004B48E0">
        <w:trPr>
          <w:trHeight w:val="254"/>
          <w:jc w:val="center"/>
        </w:trPr>
        <w:tc>
          <w:tcPr>
            <w:tcW w:w="2432" w:type="pct"/>
            <w:gridSpan w:val="2"/>
            <w:tcBorders>
              <w:top w:val="single" w:sz="4" w:space="0" w:color="auto"/>
              <w:bottom w:val="single" w:sz="4" w:space="0" w:color="auto"/>
            </w:tcBorders>
            <w:vAlign w:val="center"/>
            <w:hideMark/>
          </w:tcPr>
          <w:p w:rsidR="00925314" w:rsidRPr="00925314" w:rsidRDefault="00925314" w:rsidP="00925314">
            <w:pPr>
              <w:spacing w:line="240" w:lineRule="auto"/>
              <w:ind w:firstLine="0"/>
              <w:jc w:val="left"/>
              <w:rPr>
                <w:rFonts w:eastAsia="Times New Roman" w:cs="Times New Roman"/>
                <w:color w:val="auto"/>
                <w:sz w:val="20"/>
                <w:szCs w:val="24"/>
                <w:lang w:eastAsia="es-PE"/>
              </w:rPr>
            </w:pPr>
          </w:p>
        </w:tc>
        <w:tc>
          <w:tcPr>
            <w:tcW w:w="1353"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f</w:t>
            </w:r>
          </w:p>
        </w:tc>
        <w:tc>
          <w:tcPr>
            <w:tcW w:w="1215" w:type="pct"/>
            <w:tcBorders>
              <w:top w:val="single" w:sz="4" w:space="0" w:color="auto"/>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bCs/>
                <w:i/>
                <w:iCs/>
                <w:color w:val="auto"/>
                <w:szCs w:val="24"/>
                <w:lang w:eastAsia="es-PE"/>
              </w:rPr>
            </w:pPr>
            <w:r w:rsidRPr="00925314">
              <w:rPr>
                <w:rFonts w:eastAsia="Times New Roman" w:cs="Times New Roman"/>
                <w:b/>
                <w:bCs/>
                <w:i/>
                <w:iCs/>
                <w:color w:val="auto"/>
                <w:szCs w:val="24"/>
                <w:lang w:eastAsia="es-PE"/>
              </w:rPr>
              <w:t>%</w:t>
            </w:r>
          </w:p>
        </w:tc>
      </w:tr>
      <w:tr w:rsidR="00925314" w:rsidRPr="00925314" w:rsidTr="004B48E0">
        <w:trPr>
          <w:trHeight w:val="254"/>
          <w:jc w:val="center"/>
        </w:trPr>
        <w:tc>
          <w:tcPr>
            <w:tcW w:w="1216" w:type="pct"/>
            <w:vMerge w:val="restar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Prevención contra el dengue</w:t>
            </w:r>
          </w:p>
        </w:tc>
        <w:tc>
          <w:tcPr>
            <w:tcW w:w="1216"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Bajo</w:t>
            </w:r>
          </w:p>
        </w:tc>
        <w:tc>
          <w:tcPr>
            <w:tcW w:w="1353"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163</w:t>
            </w:r>
          </w:p>
        </w:tc>
        <w:tc>
          <w:tcPr>
            <w:tcW w:w="1215"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46.8%</w:t>
            </w:r>
          </w:p>
        </w:tc>
      </w:tr>
      <w:tr w:rsidR="00925314" w:rsidRPr="00925314" w:rsidTr="004B48E0">
        <w:trPr>
          <w:trHeight w:val="254"/>
          <w:jc w:val="center"/>
        </w:trPr>
        <w:tc>
          <w:tcPr>
            <w:tcW w:w="1216"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216" w:type="pct"/>
            <w:tcBorders>
              <w:bottom w:val="nil"/>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Medio</w:t>
            </w:r>
          </w:p>
        </w:tc>
        <w:tc>
          <w:tcPr>
            <w:tcW w:w="1353"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107</w:t>
            </w:r>
          </w:p>
        </w:tc>
        <w:tc>
          <w:tcPr>
            <w:tcW w:w="1215" w:type="pct"/>
            <w:tcBorders>
              <w:bottom w:val="nil"/>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30.7%</w:t>
            </w:r>
          </w:p>
        </w:tc>
      </w:tr>
      <w:tr w:rsidR="00925314" w:rsidRPr="00925314" w:rsidTr="004B48E0">
        <w:trPr>
          <w:trHeight w:val="254"/>
          <w:jc w:val="center"/>
        </w:trPr>
        <w:tc>
          <w:tcPr>
            <w:tcW w:w="1216"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216" w:type="pct"/>
            <w:tcBorders>
              <w:top w:val="nil"/>
              <w:bottom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Alto</w:t>
            </w:r>
          </w:p>
        </w:tc>
        <w:tc>
          <w:tcPr>
            <w:tcW w:w="1353"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78</w:t>
            </w:r>
          </w:p>
        </w:tc>
        <w:tc>
          <w:tcPr>
            <w:tcW w:w="1215" w:type="pct"/>
            <w:tcBorders>
              <w:top w:val="nil"/>
              <w:bottom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22.4%</w:t>
            </w:r>
          </w:p>
        </w:tc>
      </w:tr>
      <w:tr w:rsidR="00925314" w:rsidRPr="00925314" w:rsidTr="004B48E0">
        <w:trPr>
          <w:trHeight w:val="254"/>
          <w:jc w:val="center"/>
        </w:trPr>
        <w:tc>
          <w:tcPr>
            <w:tcW w:w="1216" w:type="pct"/>
            <w:vMerge/>
            <w:vAlign w:val="center"/>
            <w:hideMark/>
          </w:tcPr>
          <w:p w:rsidR="00925314" w:rsidRPr="00925314" w:rsidRDefault="00925314" w:rsidP="00925314">
            <w:pPr>
              <w:spacing w:line="240" w:lineRule="auto"/>
              <w:ind w:firstLine="0"/>
              <w:jc w:val="left"/>
              <w:rPr>
                <w:rFonts w:eastAsia="Times New Roman" w:cs="Times New Roman"/>
                <w:color w:val="auto"/>
                <w:szCs w:val="24"/>
                <w:lang w:eastAsia="es-PE"/>
              </w:rPr>
            </w:pPr>
          </w:p>
        </w:tc>
        <w:tc>
          <w:tcPr>
            <w:tcW w:w="1216" w:type="pct"/>
            <w:tcBorders>
              <w:top w:val="single" w:sz="4" w:space="0" w:color="auto"/>
            </w:tcBorders>
            <w:vAlign w:val="center"/>
            <w:hideMark/>
          </w:tcPr>
          <w:p w:rsidR="00925314" w:rsidRPr="00925314" w:rsidRDefault="00925314" w:rsidP="00925314">
            <w:pPr>
              <w:spacing w:line="240" w:lineRule="auto"/>
              <w:ind w:firstLine="0"/>
              <w:jc w:val="center"/>
              <w:rPr>
                <w:rFonts w:eastAsia="Times New Roman" w:cs="Times New Roman"/>
                <w:b/>
                <w:color w:val="auto"/>
                <w:szCs w:val="24"/>
                <w:lang w:eastAsia="es-PE"/>
              </w:rPr>
            </w:pPr>
            <w:r w:rsidRPr="00925314">
              <w:rPr>
                <w:rFonts w:eastAsia="Times New Roman" w:cs="Times New Roman"/>
                <w:b/>
                <w:color w:val="auto"/>
                <w:szCs w:val="24"/>
                <w:lang w:eastAsia="es-PE"/>
              </w:rPr>
              <w:t>Total</w:t>
            </w:r>
          </w:p>
        </w:tc>
        <w:tc>
          <w:tcPr>
            <w:tcW w:w="1353"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348</w:t>
            </w:r>
          </w:p>
        </w:tc>
        <w:tc>
          <w:tcPr>
            <w:tcW w:w="1215" w:type="pct"/>
            <w:tcBorders>
              <w:top w:val="single" w:sz="4" w:space="0" w:color="auto"/>
            </w:tcBorders>
            <w:noWrap/>
            <w:vAlign w:val="center"/>
            <w:hideMark/>
          </w:tcPr>
          <w:p w:rsidR="00925314" w:rsidRPr="00925314" w:rsidRDefault="00925314" w:rsidP="00925314">
            <w:pPr>
              <w:spacing w:line="240" w:lineRule="auto"/>
              <w:ind w:firstLine="0"/>
              <w:jc w:val="center"/>
              <w:rPr>
                <w:rFonts w:eastAsia="Times New Roman" w:cs="Times New Roman"/>
                <w:color w:val="auto"/>
                <w:szCs w:val="24"/>
                <w:lang w:eastAsia="es-PE"/>
              </w:rPr>
            </w:pPr>
            <w:r w:rsidRPr="00925314">
              <w:rPr>
                <w:rFonts w:eastAsia="Times New Roman" w:cs="Times New Roman"/>
                <w:color w:val="auto"/>
                <w:szCs w:val="24"/>
                <w:lang w:eastAsia="es-PE"/>
              </w:rPr>
              <w:t>100.0%</w:t>
            </w:r>
          </w:p>
        </w:tc>
      </w:tr>
    </w:tbl>
    <w:p w:rsidR="00925314" w:rsidRPr="00925314" w:rsidRDefault="00925314" w:rsidP="004B48E0">
      <w:pPr>
        <w:spacing w:after="160" w:line="259" w:lineRule="auto"/>
        <w:ind w:left="708"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925314" w:rsidRPr="00925314" w:rsidRDefault="00925314" w:rsidP="004B48E0">
      <w:pPr>
        <w:rPr>
          <w:lang w:eastAsia="es-PE"/>
        </w:rPr>
      </w:pPr>
      <w:r w:rsidRPr="00925314">
        <w:rPr>
          <w:lang w:eastAsia="es-PE"/>
        </w:rPr>
        <w:t>Con base en los hallazgos, se rechaza la hipótesis específica 2 que planteaba que el nivel de conocimiento sobre prácticas preventivas era regular.</w:t>
      </w:r>
    </w:p>
    <w:p w:rsidR="00925314" w:rsidRPr="00925314" w:rsidRDefault="00925314" w:rsidP="004B48E0">
      <w:pPr>
        <w:spacing w:after="160"/>
        <w:ind w:firstLine="0"/>
        <w:jc w:val="left"/>
        <w:rPr>
          <w:rFonts w:eastAsia="Aptos" w:cs="Times New Roman"/>
          <w:b/>
          <w:bCs/>
          <w:color w:val="auto"/>
        </w:rPr>
      </w:pPr>
      <w:r w:rsidRPr="00925314">
        <w:rPr>
          <w:rFonts w:eastAsia="Aptos" w:cs="Times New Roman"/>
          <w:b/>
          <w:bCs/>
          <w:color w:val="auto"/>
        </w:rPr>
        <w:t>Hipótesis específica 3</w:t>
      </w:r>
    </w:p>
    <w:p w:rsidR="004B48E0" w:rsidRDefault="00925314" w:rsidP="004B48E0">
      <w:pPr>
        <w:spacing w:after="160"/>
        <w:ind w:firstLine="0"/>
      </w:pPr>
      <w:r w:rsidRPr="00925314">
        <w:rPr>
          <w:rFonts w:eastAsia="Aptos" w:cs="Times New Roman"/>
          <w:color w:val="auto"/>
        </w:rPr>
        <w:t xml:space="preserve"> El porcentaje de diferencia en el nivel de conocimiento sobre el conocimiento y la practicas preventivas contra el dengue de acuerdo al género es similar.</w:t>
      </w:r>
      <w:bookmarkStart w:id="23" w:name="_Toc207618315"/>
      <w:bookmarkStart w:id="24" w:name="_Toc214113731"/>
    </w:p>
    <w:p w:rsidR="00925314" w:rsidRDefault="004B48E0" w:rsidP="004B48E0">
      <w:pPr>
        <w:spacing w:after="120"/>
        <w:ind w:firstLine="0"/>
        <w:jc w:val="left"/>
        <w:rPr>
          <w:rFonts w:eastAsia="Times New Roman" w:cs="Times New Roman"/>
          <w:i/>
          <w:iCs/>
          <w:color w:val="auto"/>
          <w:szCs w:val="24"/>
          <w:lang w:eastAsia="es-PE"/>
        </w:rPr>
      </w:pPr>
      <w:r w:rsidRPr="00C7614B">
        <w:rPr>
          <w:noProof/>
          <w:lang w:val="es-ES" w:eastAsia="es-ES"/>
        </w:rPr>
        <w:drawing>
          <wp:anchor distT="0" distB="0" distL="114300" distR="114300" simplePos="0" relativeHeight="251660288" behindDoc="0" locked="0" layoutInCell="1" allowOverlap="1">
            <wp:simplePos x="0" y="0"/>
            <wp:positionH relativeFrom="column">
              <wp:posOffset>342900</wp:posOffset>
            </wp:positionH>
            <wp:positionV relativeFrom="paragraph">
              <wp:posOffset>604520</wp:posOffset>
            </wp:positionV>
            <wp:extent cx="4989830" cy="153352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9827"/>
                    <a:stretch/>
                  </pic:blipFill>
                  <pic:spPr bwMode="auto">
                    <a:xfrm>
                      <a:off x="0" y="0"/>
                      <a:ext cx="4989830" cy="1533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925314" w:rsidRPr="00925314">
        <w:rPr>
          <w:rFonts w:eastAsia="Aptos" w:cs="Times New Roman"/>
          <w:b/>
          <w:color w:val="auto"/>
        </w:rPr>
        <w:t xml:space="preserve">Tabla </w:t>
      </w:r>
      <w:r w:rsidR="00F70119" w:rsidRPr="00925314">
        <w:rPr>
          <w:rFonts w:eastAsia="Aptos" w:cs="Times New Roman"/>
          <w:b/>
          <w:color w:val="auto"/>
        </w:rPr>
        <w:fldChar w:fldCharType="begin"/>
      </w:r>
      <w:r w:rsidR="00925314"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7</w:t>
      </w:r>
      <w:r w:rsidR="00F70119" w:rsidRPr="00925314">
        <w:rPr>
          <w:rFonts w:eastAsia="Aptos" w:cs="Times New Roman"/>
          <w:b/>
          <w:color w:val="auto"/>
        </w:rPr>
        <w:fldChar w:fldCharType="end"/>
      </w:r>
      <w:r w:rsidR="00925314" w:rsidRPr="00925314">
        <w:rPr>
          <w:rFonts w:eastAsia="Aptos" w:cs="Times New Roman"/>
          <w:b/>
          <w:bCs/>
          <w:color w:val="auto"/>
          <w:szCs w:val="24"/>
        </w:rPr>
        <w:br/>
      </w:r>
      <w:r w:rsidR="00925314" w:rsidRPr="00925314">
        <w:rPr>
          <w:rFonts w:eastAsia="Times New Roman" w:cs="Times New Roman"/>
          <w:i/>
          <w:iCs/>
          <w:color w:val="auto"/>
          <w:szCs w:val="24"/>
          <w:lang w:eastAsia="es-PE"/>
        </w:rPr>
        <w:t>Diferencia entre el nivel de conocimiento sobre el dengue de acuerdo al género</w:t>
      </w:r>
      <w:bookmarkEnd w:id="23"/>
      <w:bookmarkEnd w:id="24"/>
    </w:p>
    <w:p w:rsidR="004B48E0" w:rsidRDefault="00925314" w:rsidP="004B48E0">
      <w:pPr>
        <w:spacing w:after="160" w:line="259" w:lineRule="auto"/>
        <w:ind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lastRenderedPageBreak/>
        <w:t>Nota:</w:t>
      </w:r>
      <w:r w:rsidRPr="00925314">
        <w:rPr>
          <w:rFonts w:eastAsia="Times New Roman" w:cs="Times New Roman"/>
          <w:color w:val="auto"/>
          <w:szCs w:val="24"/>
          <w:lang w:eastAsia="es-PE"/>
        </w:rPr>
        <w:t xml:space="preserve"> Elaboración propia mediante SPSS v27.</w:t>
      </w:r>
    </w:p>
    <w:p w:rsidR="00925314" w:rsidRDefault="00925314" w:rsidP="004B48E0">
      <w:pPr>
        <w:rPr>
          <w:lang w:eastAsia="es-PE"/>
        </w:rPr>
      </w:pPr>
      <w:r w:rsidRPr="00925314">
        <w:rPr>
          <w:lang w:eastAsia="es-PE"/>
        </w:rPr>
        <w:t>Según con la prueba de Chi-cuadrado no se encontraron diferencias estadísticamente significativas en la distribución de los niveles de conocimiento sobre el dengue entre hombres y mujeres (χ²=4.439, p=0.109, V=0.113), dado que el valor de significancia es mayor que 0.05 se rechaza la hipótesis 3, lo que indica que no existe evidencia suficiente para afirmar que el nivel de conocimiento sobre el dengue varía según el género de los estudiantes, el tamaño del efecto, medido por V de Cramer es de 0.113 lo que sugiere una asociación muy débil o prácticamente nula entre el género y el nivel de conocimiento.</w:t>
      </w:r>
    </w:p>
    <w:p w:rsidR="004B48E0" w:rsidRPr="00925314" w:rsidRDefault="004B48E0" w:rsidP="004B48E0">
      <w:pPr>
        <w:rPr>
          <w:lang w:eastAsia="es-PE"/>
        </w:rPr>
      </w:pPr>
    </w:p>
    <w:p w:rsidR="00925314" w:rsidRDefault="00C7614B" w:rsidP="00925314">
      <w:pPr>
        <w:spacing w:after="120" w:line="480" w:lineRule="auto"/>
        <w:ind w:firstLine="0"/>
        <w:jc w:val="left"/>
        <w:rPr>
          <w:rFonts w:eastAsia="Times New Roman" w:cs="Times New Roman"/>
          <w:i/>
          <w:iCs/>
          <w:color w:val="auto"/>
          <w:szCs w:val="24"/>
          <w:lang w:eastAsia="es-PE"/>
        </w:rPr>
      </w:pPr>
      <w:bookmarkStart w:id="25" w:name="_Toc207618316"/>
      <w:bookmarkStart w:id="26" w:name="_Toc214113732"/>
      <w:r w:rsidRPr="00C7614B">
        <w:rPr>
          <w:noProof/>
          <w:lang w:val="es-ES" w:eastAsia="es-ES"/>
        </w:rPr>
        <w:drawing>
          <wp:anchor distT="0" distB="0" distL="114300" distR="114300" simplePos="0" relativeHeight="251661312" behindDoc="0" locked="0" layoutInCell="1" allowOverlap="1">
            <wp:simplePos x="0" y="0"/>
            <wp:positionH relativeFrom="column">
              <wp:posOffset>495300</wp:posOffset>
            </wp:positionH>
            <wp:positionV relativeFrom="paragraph">
              <wp:posOffset>630555</wp:posOffset>
            </wp:positionV>
            <wp:extent cx="4742180" cy="16668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42430" cy="1666963"/>
                    </a:xfrm>
                    <a:prstGeom prst="rect">
                      <a:avLst/>
                    </a:prstGeom>
                    <a:noFill/>
                    <a:ln>
                      <a:noFill/>
                    </a:ln>
                  </pic:spPr>
                </pic:pic>
              </a:graphicData>
            </a:graphic>
          </wp:anchor>
        </w:drawing>
      </w:r>
      <w:r w:rsidR="00925314" w:rsidRPr="00925314">
        <w:rPr>
          <w:rFonts w:eastAsia="Aptos" w:cs="Times New Roman"/>
          <w:b/>
          <w:color w:val="auto"/>
        </w:rPr>
        <w:t xml:space="preserve">Tabla </w:t>
      </w:r>
      <w:r w:rsidR="00F70119" w:rsidRPr="00925314">
        <w:rPr>
          <w:rFonts w:eastAsia="Aptos" w:cs="Times New Roman"/>
          <w:b/>
          <w:color w:val="auto"/>
        </w:rPr>
        <w:fldChar w:fldCharType="begin"/>
      </w:r>
      <w:r w:rsidR="00925314" w:rsidRPr="00925314">
        <w:rPr>
          <w:rFonts w:eastAsia="Aptos" w:cs="Times New Roman"/>
          <w:b/>
          <w:color w:val="auto"/>
        </w:rPr>
        <w:instrText xml:space="preserve"> SEQ Tabla \* ARABIC </w:instrText>
      </w:r>
      <w:r w:rsidR="00F70119" w:rsidRPr="00925314">
        <w:rPr>
          <w:rFonts w:eastAsia="Aptos" w:cs="Times New Roman"/>
          <w:b/>
          <w:color w:val="auto"/>
        </w:rPr>
        <w:fldChar w:fldCharType="separate"/>
      </w:r>
      <w:r w:rsidR="00141C30">
        <w:rPr>
          <w:rFonts w:eastAsia="Aptos" w:cs="Times New Roman"/>
          <w:b/>
          <w:noProof/>
          <w:color w:val="auto"/>
        </w:rPr>
        <w:t>8</w:t>
      </w:r>
      <w:r w:rsidR="00F70119" w:rsidRPr="00925314">
        <w:rPr>
          <w:rFonts w:eastAsia="Aptos" w:cs="Times New Roman"/>
          <w:b/>
          <w:color w:val="auto"/>
        </w:rPr>
        <w:fldChar w:fldCharType="end"/>
      </w:r>
      <w:r w:rsidR="00925314" w:rsidRPr="00925314">
        <w:rPr>
          <w:rFonts w:eastAsia="Aptos" w:cs="Times New Roman"/>
          <w:b/>
          <w:bCs/>
          <w:color w:val="auto"/>
          <w:szCs w:val="24"/>
        </w:rPr>
        <w:br/>
      </w:r>
      <w:r w:rsidR="00925314" w:rsidRPr="00925314">
        <w:rPr>
          <w:rFonts w:eastAsia="Times New Roman" w:cs="Times New Roman"/>
          <w:i/>
          <w:iCs/>
          <w:color w:val="auto"/>
          <w:szCs w:val="24"/>
          <w:lang w:eastAsia="es-PE"/>
        </w:rPr>
        <w:t>Diferencia entre el nivel de prácticas preventivas del contra el dengue de acuerdo al género</w:t>
      </w:r>
      <w:bookmarkEnd w:id="25"/>
      <w:bookmarkEnd w:id="26"/>
    </w:p>
    <w:p w:rsidR="00C7614B" w:rsidRDefault="00C7614B" w:rsidP="00925314">
      <w:pPr>
        <w:spacing w:after="120" w:line="480" w:lineRule="auto"/>
        <w:ind w:firstLine="0"/>
        <w:jc w:val="left"/>
        <w:rPr>
          <w:rFonts w:eastAsia="Times New Roman" w:cs="Times New Roman"/>
          <w:i/>
          <w:iCs/>
          <w:color w:val="auto"/>
          <w:szCs w:val="24"/>
          <w:lang w:eastAsia="es-PE"/>
        </w:rPr>
      </w:pPr>
    </w:p>
    <w:p w:rsidR="00C7614B" w:rsidRDefault="00C7614B" w:rsidP="00925314">
      <w:pPr>
        <w:spacing w:after="120" w:line="480" w:lineRule="auto"/>
        <w:ind w:firstLine="0"/>
        <w:jc w:val="left"/>
        <w:rPr>
          <w:rFonts w:eastAsia="Times New Roman" w:cs="Times New Roman"/>
          <w:i/>
          <w:iCs/>
          <w:color w:val="auto"/>
          <w:szCs w:val="24"/>
          <w:lang w:eastAsia="es-PE"/>
        </w:rPr>
      </w:pPr>
    </w:p>
    <w:p w:rsidR="00C7614B" w:rsidRDefault="00C7614B" w:rsidP="00925314">
      <w:pPr>
        <w:spacing w:after="120" w:line="480" w:lineRule="auto"/>
        <w:ind w:firstLine="0"/>
        <w:jc w:val="left"/>
        <w:rPr>
          <w:rFonts w:eastAsia="Times New Roman" w:cs="Times New Roman"/>
          <w:i/>
          <w:iCs/>
          <w:color w:val="auto"/>
          <w:szCs w:val="24"/>
          <w:lang w:eastAsia="es-PE"/>
        </w:rPr>
      </w:pPr>
    </w:p>
    <w:p w:rsidR="00C7614B" w:rsidRPr="00925314" w:rsidRDefault="00C7614B" w:rsidP="00925314">
      <w:pPr>
        <w:spacing w:after="120" w:line="480" w:lineRule="auto"/>
        <w:ind w:firstLine="0"/>
        <w:jc w:val="left"/>
        <w:rPr>
          <w:rFonts w:eastAsia="Times New Roman" w:cs="Times New Roman"/>
          <w:i/>
          <w:iCs/>
          <w:color w:val="auto"/>
          <w:szCs w:val="24"/>
          <w:lang w:eastAsia="es-PE"/>
        </w:rPr>
      </w:pPr>
    </w:p>
    <w:p w:rsidR="00925314" w:rsidRPr="00925314" w:rsidRDefault="00925314" w:rsidP="00C7614B">
      <w:pPr>
        <w:spacing w:after="160" w:line="259" w:lineRule="auto"/>
        <w:ind w:left="12" w:firstLine="708"/>
        <w:jc w:val="left"/>
        <w:rPr>
          <w:rFonts w:eastAsia="Times New Roman" w:cs="Times New Roman"/>
          <w:color w:val="auto"/>
          <w:szCs w:val="24"/>
          <w:lang w:eastAsia="es-PE"/>
        </w:rPr>
      </w:pPr>
      <w:r w:rsidRPr="00925314">
        <w:rPr>
          <w:rFonts w:eastAsia="Times New Roman" w:cs="Times New Roman"/>
          <w:i/>
          <w:iCs/>
          <w:color w:val="auto"/>
          <w:szCs w:val="24"/>
          <w:lang w:eastAsia="es-PE"/>
        </w:rPr>
        <w:t>Nota:</w:t>
      </w:r>
      <w:r w:rsidRPr="00925314">
        <w:rPr>
          <w:rFonts w:eastAsia="Times New Roman" w:cs="Times New Roman"/>
          <w:color w:val="auto"/>
          <w:szCs w:val="24"/>
          <w:lang w:eastAsia="es-PE"/>
        </w:rPr>
        <w:t xml:space="preserve"> Elaboración propia mediante SPSS v27.</w:t>
      </w:r>
    </w:p>
    <w:p w:rsidR="00925314" w:rsidRPr="00925314" w:rsidRDefault="00925314" w:rsidP="00925314">
      <w:pPr>
        <w:spacing w:after="120" w:line="480" w:lineRule="auto"/>
        <w:rPr>
          <w:rFonts w:eastAsia="Times New Roman" w:cs="Times New Roman"/>
          <w:color w:val="auto"/>
          <w:szCs w:val="24"/>
          <w:lang w:eastAsia="es-PE"/>
        </w:rPr>
      </w:pPr>
      <w:r w:rsidRPr="00925314">
        <w:rPr>
          <w:rFonts w:eastAsia="Times New Roman" w:cs="Times New Roman"/>
          <w:color w:val="auto"/>
          <w:szCs w:val="24"/>
          <w:lang w:eastAsia="es-PE"/>
        </w:rPr>
        <w:t>De acuerdo con la prueba de Chi-cuadrado no se encontraron diferencias estadísticamente significativas en las prácticas preventivas contra el dengue entre hombres y mujeres (χ²=1.796, p=0.407 , V=0.072), dado que el valor de significancia es mayor que 0.05 se rechaza la hipótesis específica 3, lo que indica que no existe evidencia suficiente para afirmar que las prácticas preventivas varían según el género, el tamaño del efecto, medido por V de Cramer, es de 0.072, lo que indica una asociación extremadamente débil o prácticamente nula entre el género y el nivel de prácticas preventivas.</w:t>
      </w:r>
    </w:p>
    <w:bookmarkEnd w:id="2"/>
    <w:bookmarkEnd w:id="3"/>
    <w:p w:rsidR="00C7614B" w:rsidRPr="00C7614B" w:rsidRDefault="00C7614B" w:rsidP="00C7614B">
      <w:pPr>
        <w:rPr>
          <w:rFonts w:eastAsia="Times New Roman" w:cs="Times New Roman"/>
          <w:color w:val="auto"/>
          <w:szCs w:val="24"/>
          <w:lang w:eastAsia="es-PE"/>
        </w:rPr>
      </w:pPr>
      <w:r>
        <w:rPr>
          <w:rFonts w:eastAsia="Times New Roman" w:cs="Times New Roman"/>
          <w:color w:val="auto"/>
          <w:szCs w:val="24"/>
          <w:lang w:eastAsia="es-PE"/>
        </w:rPr>
        <w:t>D</w:t>
      </w:r>
      <w:r w:rsidRPr="00C7614B">
        <w:rPr>
          <w:rFonts w:eastAsia="Times New Roman" w:cs="Times New Roman"/>
          <w:color w:val="auto"/>
          <w:szCs w:val="24"/>
          <w:lang w:eastAsia="es-PE"/>
        </w:rPr>
        <w:t xml:space="preserve">iscusión de resultados:El estudio confirmó la hipótesis principal al encontrar una correlación positiva y significativa, de intensidad moderada, entre el nivel de conocimientos y las prácticas preventivas contra el dengue. Esto respalda la evidencia nacional e internacional que señala al binomio conocimiento–práctica como un eje fundamental en la prevención de la </w:t>
      </w:r>
      <w:r w:rsidRPr="00C7614B">
        <w:rPr>
          <w:rFonts w:eastAsia="Times New Roman" w:cs="Times New Roman"/>
          <w:color w:val="auto"/>
          <w:szCs w:val="24"/>
          <w:lang w:eastAsia="es-PE"/>
        </w:rPr>
        <w:lastRenderedPageBreak/>
        <w:t>enfermedad. Sin embargo, la correlación moderada indica que existen otros factores que también influyen en la adopción de conductas preventivas, como la percepción del riesgo, las condiciones socioeconómicas y la pertinencia del conocimiento transmitido.</w:t>
      </w:r>
    </w:p>
    <w:p w:rsidR="00C7614B" w:rsidRPr="00C7614B" w:rsidRDefault="00C7614B" w:rsidP="00C7614B">
      <w:pPr>
        <w:rPr>
          <w:rFonts w:eastAsia="Times New Roman" w:cs="Times New Roman"/>
          <w:color w:val="auto"/>
          <w:szCs w:val="24"/>
          <w:lang w:eastAsia="es-PE"/>
        </w:rPr>
      </w:pPr>
      <w:r w:rsidRPr="00C7614B">
        <w:rPr>
          <w:rFonts w:eastAsia="Times New Roman" w:cs="Times New Roman"/>
          <w:color w:val="auto"/>
          <w:szCs w:val="24"/>
          <w:lang w:eastAsia="es-PE"/>
        </w:rPr>
        <w:t xml:space="preserve">En cuanto al nivel de conocimiento sobre el dengue, la mayoría de los estudiantes presentó un nivel medio, seguido por un nivel bajo y en menor proporción un nivel alto. Este perfil refleja una heterogeneidad en la comprensión de la enfermedad, con mayor familiaridad hacia aspectos prácticos de riesgo que </w:t>
      </w:r>
      <w:r w:rsidR="004B48E0" w:rsidRPr="00C7614B">
        <w:rPr>
          <w:rFonts w:eastAsia="Times New Roman" w:cs="Times New Roman"/>
          <w:color w:val="auto"/>
          <w:szCs w:val="24"/>
          <w:lang w:eastAsia="es-PE"/>
        </w:rPr>
        <w:t>hacía</w:t>
      </w:r>
      <w:r w:rsidRPr="00C7614B">
        <w:rPr>
          <w:rFonts w:eastAsia="Times New Roman" w:cs="Times New Roman"/>
          <w:color w:val="auto"/>
          <w:szCs w:val="24"/>
          <w:lang w:eastAsia="es-PE"/>
        </w:rPr>
        <w:t xml:space="preserve"> características clínicas o epidemiológicas.</w:t>
      </w:r>
    </w:p>
    <w:p w:rsidR="00C7614B" w:rsidRPr="00C7614B" w:rsidRDefault="00C7614B" w:rsidP="00C7614B">
      <w:pPr>
        <w:rPr>
          <w:rFonts w:eastAsia="Times New Roman" w:cs="Times New Roman"/>
          <w:color w:val="auto"/>
          <w:szCs w:val="24"/>
          <w:lang w:eastAsia="es-PE"/>
        </w:rPr>
      </w:pPr>
      <w:r w:rsidRPr="00C7614B">
        <w:rPr>
          <w:rFonts w:eastAsia="Times New Roman" w:cs="Times New Roman"/>
          <w:color w:val="auto"/>
          <w:szCs w:val="24"/>
          <w:lang w:eastAsia="es-PE"/>
        </w:rPr>
        <w:t>Respecto al conocimiento sobre prácticas preventivas, los resultados fueron más críticos: casi la mitad de los estudiantes mostró un nivel bajo, lo que evidencia una vulnerabilidad significativa en este grupo etario y una brecha en la efectividad de las campañas educativas dirigidas a adolescentes. Esto refuerza la necesidad de intervenciones escolares y comunitarias más sostenidas y focalizadas.</w:t>
      </w:r>
    </w:p>
    <w:p w:rsidR="0002329A" w:rsidRDefault="00C7614B" w:rsidP="00C7614B">
      <w:pPr>
        <w:rPr>
          <w:rFonts w:eastAsia="Times New Roman" w:cs="Times New Roman"/>
          <w:color w:val="auto"/>
          <w:szCs w:val="24"/>
          <w:lang w:eastAsia="es-PE"/>
        </w:rPr>
      </w:pPr>
      <w:r w:rsidRPr="00C7614B">
        <w:rPr>
          <w:rFonts w:eastAsia="Times New Roman" w:cs="Times New Roman"/>
          <w:color w:val="auto"/>
          <w:szCs w:val="24"/>
          <w:lang w:eastAsia="es-PE"/>
        </w:rPr>
        <w:t>Finalmente, el análisis por género reveló que no existen diferencias significativas en los niveles de conocimiento ni en las prácticas preventivas entre hombres y mujeres, lo que sugiere que el género no es un factor determinante en este contexto. En conjunto, los hallazgos destacan la importancia de fortalecer la educación sanitaria, integrar a la comunidad y diseñar programas escolares estandarizados que permitan transformar el conocimiento en hábitos preventivos duraderos.</w:t>
      </w:r>
    </w:p>
    <w:p w:rsidR="00C7614B" w:rsidRDefault="00C7614B" w:rsidP="00C7614B">
      <w:pPr>
        <w:rPr>
          <w:rFonts w:cs="Times New Roman"/>
          <w:szCs w:val="24"/>
          <w:lang w:eastAsia="es-PE"/>
        </w:rPr>
      </w:pPr>
    </w:p>
    <w:p w:rsidR="00C7614B" w:rsidRPr="00CD2D5C" w:rsidRDefault="00C7614B" w:rsidP="00C7614B">
      <w:pPr>
        <w:ind w:firstLine="0"/>
        <w:rPr>
          <w:rFonts w:cs="Times New Roman"/>
          <w:b/>
          <w:bCs/>
          <w:szCs w:val="24"/>
        </w:rPr>
      </w:pPr>
      <w:r w:rsidRPr="00CD2D5C">
        <w:rPr>
          <w:rFonts w:cs="Times New Roman"/>
          <w:b/>
          <w:bCs/>
          <w:szCs w:val="24"/>
        </w:rPr>
        <w:t>CONCLUSIONES</w:t>
      </w:r>
    </w:p>
    <w:p w:rsidR="00C7614B" w:rsidRPr="00C7614B" w:rsidRDefault="00C7614B" w:rsidP="00C7614B">
      <w:pPr>
        <w:rPr>
          <w:rFonts w:cs="Times New Roman"/>
          <w:szCs w:val="24"/>
          <w:lang w:eastAsia="es-PE"/>
        </w:rPr>
      </w:pPr>
      <w:r w:rsidRPr="00C7614B">
        <w:rPr>
          <w:rFonts w:cs="Times New Roman"/>
          <w:szCs w:val="24"/>
          <w:lang w:eastAsia="es-PE"/>
        </w:rPr>
        <w:t>El estudio confirma que existe una correlación positiva y significativa, aunque de intensidad moderada, entre el nivel de conocimientos y las prácticas preventivas contra el dengue en estudiantes de secundaria. Esto demuestra que un mayor conocimiento favorece mejores prácticas, pero también que el conocimiento no es el único factor que explica el comportamiento preventivo.</w:t>
      </w:r>
    </w:p>
    <w:p w:rsidR="00C7614B" w:rsidRPr="00C7614B" w:rsidRDefault="00C7614B" w:rsidP="00C7614B">
      <w:pPr>
        <w:rPr>
          <w:rFonts w:cs="Times New Roman"/>
          <w:szCs w:val="24"/>
          <w:lang w:eastAsia="es-PE"/>
        </w:rPr>
      </w:pPr>
      <w:r w:rsidRPr="00C7614B">
        <w:rPr>
          <w:rFonts w:cs="Times New Roman"/>
          <w:szCs w:val="24"/>
          <w:lang w:eastAsia="es-PE"/>
        </w:rPr>
        <w:t>En cuanto al nivel de conocimientos sobre el dengue, la mayoría de los estudiantes presenta un nivel medio, mientras que una proporción menor alcanza un nivel alto y una parte considerable se mantiene en un nivel bajo, lo que evidencia una brecha importante en la calidad de la información que poseen.</w:t>
      </w:r>
    </w:p>
    <w:p w:rsidR="00C7614B" w:rsidRPr="00C7614B" w:rsidRDefault="00C7614B" w:rsidP="00C7614B">
      <w:pPr>
        <w:rPr>
          <w:rFonts w:cs="Times New Roman"/>
          <w:szCs w:val="24"/>
          <w:lang w:eastAsia="es-PE"/>
        </w:rPr>
      </w:pPr>
      <w:r w:rsidRPr="00C7614B">
        <w:rPr>
          <w:rFonts w:cs="Times New Roman"/>
          <w:szCs w:val="24"/>
          <w:lang w:eastAsia="es-PE"/>
        </w:rPr>
        <w:t>Respecto al conocimiento sobre prácticas preventivas, los resultados son más preocupantes: casi la mitad de los estudiantes muestra un nivel bajo, lo que convierte a esta dimensión en el área más crítica y en un reto prioritario para fortalecer la salud escolar y comunitaria.</w:t>
      </w:r>
    </w:p>
    <w:p w:rsidR="00C7614B" w:rsidRDefault="00C7614B" w:rsidP="00C7614B">
      <w:pPr>
        <w:rPr>
          <w:rFonts w:cs="Times New Roman"/>
          <w:szCs w:val="24"/>
          <w:lang w:eastAsia="es-PE"/>
        </w:rPr>
      </w:pPr>
      <w:r w:rsidRPr="00C7614B">
        <w:rPr>
          <w:rFonts w:cs="Times New Roman"/>
          <w:szCs w:val="24"/>
          <w:lang w:eastAsia="es-PE"/>
        </w:rPr>
        <w:lastRenderedPageBreak/>
        <w:t>Finalmente, se concluye que no existen diferencias significativas en el nivel de conocimientos ni en las prácticas preventivas según el género, lo que indica que hombres y mujeres comparten un perfil homogéneo en estas variables dentro del contexto estudiado.</w:t>
      </w:r>
    </w:p>
    <w:p w:rsidR="00B15060" w:rsidRDefault="00B15060" w:rsidP="00D05FAA">
      <w:pPr>
        <w:widowControl w:val="0"/>
        <w:autoSpaceDE w:val="0"/>
        <w:autoSpaceDN w:val="0"/>
        <w:spacing w:line="480" w:lineRule="auto"/>
        <w:ind w:left="567" w:hanging="567"/>
        <w:rPr>
          <w:rFonts w:cs="Times New Roman"/>
          <w:b/>
          <w:bCs/>
          <w:szCs w:val="24"/>
        </w:rPr>
      </w:pPr>
      <w:r w:rsidRPr="00CD2D5C">
        <w:rPr>
          <w:rFonts w:cs="Times New Roman"/>
          <w:b/>
          <w:bCs/>
          <w:szCs w:val="24"/>
        </w:rPr>
        <w:t>REFERENCIAS</w:t>
      </w:r>
    </w:p>
    <w:p w:rsidR="00161A13" w:rsidRPr="00161A13" w:rsidRDefault="00161A13" w:rsidP="00161A13">
      <w:pPr>
        <w:spacing w:after="160" w:line="480" w:lineRule="auto"/>
        <w:ind w:left="567" w:hanging="578"/>
        <w:rPr>
          <w:rFonts w:eastAsia="Aptos" w:cs="Times New Roman"/>
          <w:color w:val="467886"/>
          <w:szCs w:val="24"/>
          <w:u w:val="single"/>
        </w:rPr>
      </w:pPr>
      <w:r w:rsidRPr="00161A13">
        <w:rPr>
          <w:rFonts w:eastAsia="Aptos" w:cs="Times New Roman"/>
          <w:color w:val="auto"/>
          <w:szCs w:val="24"/>
        </w:rPr>
        <w:t>Aung, S., Phuanukoonnon, H., Ya, AMM, Lawpoolsri, S., Sriwichai, P., Soonthornworasiri, N. y Jittamala, P. (2023). Eficacia de los programas de capacitación sobre dengue para la prevención y el control entre estudiantes de secundaria en la región de Yangon, Myanmar. </w:t>
      </w:r>
      <w:r w:rsidRPr="00161A13">
        <w:rPr>
          <w:rFonts w:eastAsia="Aptos" w:cs="Times New Roman"/>
          <w:i/>
          <w:iCs/>
          <w:color w:val="auto"/>
          <w:szCs w:val="24"/>
        </w:rPr>
        <w:t>Heliyón, 9</w:t>
      </w:r>
      <w:r w:rsidRPr="00161A13">
        <w:rPr>
          <w:rFonts w:eastAsia="Aptos" w:cs="Times New Roman"/>
          <w:color w:val="auto"/>
          <w:szCs w:val="24"/>
        </w:rPr>
        <w:t> (6)</w:t>
      </w:r>
      <w:r w:rsidRPr="00161A13">
        <w:rPr>
          <w:rFonts w:eastAsia="Aptos" w:cs="Times New Roman"/>
          <w:b/>
          <w:bCs/>
          <w:color w:val="467886"/>
          <w:szCs w:val="24"/>
          <w:u w:val="single"/>
        </w:rPr>
        <w:t xml:space="preserve">. </w:t>
      </w:r>
      <w:hyperlink r:id="rId16" w:history="1">
        <w:r w:rsidRPr="00161A13">
          <w:rPr>
            <w:rStyle w:val="Hipervnculo"/>
            <w:rFonts w:eastAsia="Aptos" w:cs="Times New Roman"/>
            <w:szCs w:val="24"/>
          </w:rPr>
          <w:t>https://doi.org/10.18004/imt/20191411-2</w:t>
        </w:r>
      </w:hyperlink>
    </w:p>
    <w:p w:rsidR="00161A13" w:rsidRDefault="00161A13" w:rsidP="00161A13">
      <w:pPr>
        <w:spacing w:line="480" w:lineRule="auto"/>
        <w:ind w:left="567" w:hanging="578"/>
        <w:rPr>
          <w:rFonts w:eastAsia="Aptos" w:cs="Times New Roman"/>
          <w:color w:val="auto"/>
          <w:szCs w:val="24"/>
        </w:rPr>
      </w:pPr>
      <w:r w:rsidRPr="00161A13">
        <w:rPr>
          <w:rFonts w:eastAsia="Aptos" w:cs="Times New Roman"/>
          <w:color w:val="auto"/>
          <w:szCs w:val="24"/>
        </w:rPr>
        <w:t xml:space="preserve">Bernaola Zevallos, JL (2021). </w:t>
      </w:r>
      <w:r w:rsidRPr="00161A13">
        <w:rPr>
          <w:rFonts w:eastAsia="Aptos" w:cs="Times New Roman"/>
          <w:i/>
          <w:iCs/>
          <w:color w:val="auto"/>
          <w:szCs w:val="24"/>
        </w:rPr>
        <w:t>Educación para la salud y su relación con el empoderamiento individual de los pobladores para la prevención y control del dengue, Jaén-Perú</w:t>
      </w:r>
      <w:r w:rsidRPr="00161A13">
        <w:rPr>
          <w:rFonts w:eastAsia="Aptos" w:cs="Times New Roman"/>
          <w:color w:val="auto"/>
          <w:szCs w:val="24"/>
        </w:rPr>
        <w:t xml:space="preserve"> [Tesis de posgrado, Universidad Nacional de Cajamarca]. Repositorio UNC.  </w:t>
      </w:r>
      <w:hyperlink r:id="rId17" w:history="1">
        <w:r w:rsidRPr="00205965">
          <w:rPr>
            <w:rStyle w:val="Hipervnculo"/>
            <w:rFonts w:eastAsia="Aptos" w:cs="Times New Roman"/>
            <w:szCs w:val="24"/>
          </w:rPr>
          <w:t>https://repositorio.unc.edu.pe/handle/20.500.14074/4296</w:t>
        </w:r>
      </w:hyperlink>
    </w:p>
    <w:p w:rsidR="00161A13" w:rsidRDefault="00161A13" w:rsidP="00161A13">
      <w:pPr>
        <w:spacing w:line="480" w:lineRule="auto"/>
        <w:ind w:left="567" w:hanging="578"/>
        <w:rPr>
          <w:rFonts w:eastAsia="Aptos" w:cs="Times New Roman"/>
          <w:color w:val="auto"/>
          <w:szCs w:val="24"/>
        </w:rPr>
      </w:pPr>
      <w:r w:rsidRPr="00161A13">
        <w:rPr>
          <w:rFonts w:eastAsia="Aptos" w:cs="Times New Roman"/>
          <w:color w:val="auto"/>
          <w:szCs w:val="24"/>
        </w:rPr>
        <w:t xml:space="preserve">Ignacio Cuadros, Y., &amp;Chaupin Cuba, M. (2023). </w:t>
      </w:r>
      <w:r w:rsidRPr="00161A13">
        <w:rPr>
          <w:rFonts w:eastAsia="Aptos" w:cs="Times New Roman"/>
          <w:i/>
          <w:iCs/>
          <w:color w:val="auto"/>
          <w:szCs w:val="24"/>
        </w:rPr>
        <w:t>Conocimientos y prácticas sobre la prevención del dengue en familias del Centro de Salud Santa Rosa, Ayacucho 2022.</w:t>
      </w:r>
      <w:r w:rsidRPr="00161A13">
        <w:rPr>
          <w:rFonts w:eastAsia="Aptos" w:cs="Times New Roman"/>
          <w:color w:val="auto"/>
          <w:szCs w:val="24"/>
        </w:rPr>
        <w:t xml:space="preserve"> (Tesis de pregrado, Universidad Nacional San Cristóbal de Huamanga). </w:t>
      </w:r>
      <w:hyperlink r:id="rId18" w:history="1">
        <w:r w:rsidRPr="00205965">
          <w:rPr>
            <w:rStyle w:val="Hipervnculo"/>
            <w:rFonts w:eastAsia="Aptos" w:cs="Times New Roman"/>
            <w:szCs w:val="24"/>
          </w:rPr>
          <w:t>https://repositorio.unsch.edu.pe/server/api/core/bitstreams/749fd400-12ad-4543-959e-fa2876baa8ea/content</w:t>
        </w:r>
      </w:hyperlink>
    </w:p>
    <w:p w:rsidR="00161A13" w:rsidRDefault="00161A13" w:rsidP="00161A13">
      <w:pPr>
        <w:spacing w:line="480" w:lineRule="auto"/>
        <w:ind w:left="567" w:hanging="578"/>
        <w:rPr>
          <w:rFonts w:eastAsia="Aptos" w:cs="Times New Roman"/>
          <w:color w:val="222222"/>
          <w:szCs w:val="24"/>
          <w:shd w:val="clear" w:color="auto" w:fill="FFFFFF"/>
        </w:rPr>
      </w:pPr>
      <w:r w:rsidRPr="00161A13">
        <w:rPr>
          <w:rFonts w:eastAsia="Aptos" w:cs="Times New Roman"/>
          <w:color w:val="222222"/>
          <w:szCs w:val="24"/>
          <w:shd w:val="clear" w:color="auto" w:fill="FFFFFF"/>
          <w:lang w:val="pt-PT"/>
        </w:rPr>
        <w:t xml:space="preserve">Mendo Aguirre, MK (2024). </w:t>
      </w:r>
      <w:r w:rsidRPr="00161A13">
        <w:rPr>
          <w:rFonts w:eastAsia="Aptos" w:cs="Times New Roman"/>
          <w:i/>
          <w:iCs/>
          <w:color w:val="222222"/>
          <w:szCs w:val="24"/>
          <w:shd w:val="clear" w:color="auto" w:fill="FFFFFF"/>
        </w:rPr>
        <w:t>Factores sociodemográficos relacionados al nivel de conocimientos sobre dengue en personas que asisten al Centro de Salud de Chongoyape</w:t>
      </w:r>
      <w:r w:rsidRPr="00161A13">
        <w:rPr>
          <w:rFonts w:eastAsia="Aptos" w:cs="Times New Roman"/>
          <w:color w:val="222222"/>
          <w:szCs w:val="24"/>
          <w:shd w:val="clear" w:color="auto" w:fill="FFFFFF"/>
        </w:rPr>
        <w:t xml:space="preserve">, 2022 [Tesis de pregrado, Universidad Católica, Santo Toribio de Mogrovejo]. Repositorio Institucional USAT. </w:t>
      </w:r>
      <w:hyperlink r:id="rId19" w:history="1">
        <w:r w:rsidRPr="00205965">
          <w:rPr>
            <w:rStyle w:val="Hipervnculo"/>
            <w:rFonts w:eastAsia="Aptos" w:cs="Times New Roman"/>
            <w:szCs w:val="24"/>
            <w:shd w:val="clear" w:color="auto" w:fill="FFFFFF"/>
          </w:rPr>
          <w:t>https://tesis.usat.edu.pe/handle/20.500.12423/7106</w:t>
        </w:r>
      </w:hyperlink>
    </w:p>
    <w:p w:rsidR="00161A13" w:rsidRDefault="00161A13" w:rsidP="00161A13">
      <w:pPr>
        <w:spacing w:line="480" w:lineRule="auto"/>
        <w:ind w:left="567" w:hanging="578"/>
        <w:rPr>
          <w:rFonts w:eastAsia="Aptos" w:cs="Times New Roman"/>
          <w:color w:val="222222"/>
          <w:szCs w:val="24"/>
          <w:shd w:val="clear" w:color="auto" w:fill="FFFFFF"/>
          <w:lang w:val="pt-PT"/>
        </w:rPr>
      </w:pPr>
      <w:r w:rsidRPr="00161A13">
        <w:rPr>
          <w:rFonts w:eastAsia="Aptos" w:cs="Times New Roman"/>
          <w:color w:val="222222"/>
          <w:szCs w:val="24"/>
          <w:shd w:val="clear" w:color="auto" w:fill="FFFFFF"/>
          <w:lang w:val="pt-PT"/>
        </w:rPr>
        <w:t xml:space="preserve">Pereira, LEC, Ferreira, EM, Picinato, MADC, Mathias, LA, Arcêncio, RA, Barbosa, KFD y Ferraudo, AS (2022). </w:t>
      </w:r>
      <w:r w:rsidRPr="00161A13">
        <w:rPr>
          <w:rFonts w:eastAsia="Aptos" w:cs="Times New Roman"/>
          <w:color w:val="222222"/>
          <w:szCs w:val="24"/>
          <w:shd w:val="clear" w:color="auto" w:fill="FFFFFF"/>
        </w:rPr>
        <w:t xml:space="preserve">Conocimiento comunitario sobre dengue en territorios en riesgo en el estado de São Paulo. </w:t>
      </w:r>
      <w:r w:rsidRPr="00161A13">
        <w:rPr>
          <w:rFonts w:eastAsia="Aptos" w:cs="Times New Roman"/>
          <w:i/>
          <w:iCs/>
          <w:color w:val="222222"/>
          <w:szCs w:val="24"/>
          <w:shd w:val="clear" w:color="auto" w:fill="FFFFFF"/>
          <w:lang w:val="pt-PT"/>
        </w:rPr>
        <w:t>Arquivos do Instituto Biológico</w:t>
      </w:r>
      <w:r w:rsidRPr="00161A13">
        <w:rPr>
          <w:rFonts w:eastAsia="Aptos" w:cs="Times New Roman"/>
          <w:color w:val="222222"/>
          <w:szCs w:val="24"/>
          <w:shd w:val="clear" w:color="auto" w:fill="FFFFFF"/>
          <w:lang w:val="pt-PT"/>
        </w:rPr>
        <w:t xml:space="preserve">, 89, e00042021. </w:t>
      </w:r>
      <w:hyperlink r:id="rId20" w:history="1">
        <w:r w:rsidRPr="00205965">
          <w:rPr>
            <w:rStyle w:val="Hipervnculo"/>
            <w:rFonts w:eastAsia="Aptos" w:cs="Times New Roman"/>
            <w:szCs w:val="24"/>
            <w:shd w:val="clear" w:color="auto" w:fill="FFFFFF"/>
            <w:lang w:val="pt-PT"/>
          </w:rPr>
          <w:t>https://www.scielo.br/j/aib/a/pftrVVjwGknNPMMC33zk7Mn/</w:t>
        </w:r>
      </w:hyperlink>
    </w:p>
    <w:p w:rsidR="00161A13" w:rsidRPr="00141C30" w:rsidRDefault="00161A13" w:rsidP="00161A13">
      <w:pPr>
        <w:spacing w:line="480" w:lineRule="auto"/>
        <w:ind w:left="567" w:hanging="578"/>
        <w:rPr>
          <w:rFonts w:eastAsia="Aptos" w:cs="Times New Roman"/>
          <w:color w:val="222222"/>
          <w:szCs w:val="24"/>
          <w:shd w:val="clear" w:color="auto" w:fill="FFFFFF"/>
        </w:rPr>
      </w:pPr>
      <w:r w:rsidRPr="00161A13">
        <w:rPr>
          <w:rFonts w:eastAsia="Aptos" w:cs="Times New Roman"/>
          <w:color w:val="222222"/>
          <w:szCs w:val="24"/>
          <w:shd w:val="clear" w:color="auto" w:fill="FFFFFF"/>
        </w:rPr>
        <w:lastRenderedPageBreak/>
        <w:t xml:space="preserve">Pereyra Abastos, MG (2021). </w:t>
      </w:r>
      <w:r w:rsidRPr="00161A13">
        <w:rPr>
          <w:rFonts w:eastAsia="Aptos" w:cs="Times New Roman"/>
          <w:i/>
          <w:iCs/>
          <w:color w:val="222222"/>
          <w:szCs w:val="24"/>
          <w:shd w:val="clear" w:color="auto" w:fill="FFFFFF"/>
        </w:rPr>
        <w:t>Conocimientos y prácticas preventivas sobre el dengue de los estudiantes de la Facultad de Ciencias de la Salud de la Universidad Nacional del Callao</w:t>
      </w:r>
      <w:r w:rsidRPr="00161A13">
        <w:rPr>
          <w:rFonts w:eastAsia="Aptos" w:cs="Times New Roman"/>
          <w:color w:val="222222"/>
          <w:szCs w:val="24"/>
          <w:shd w:val="clear" w:color="auto" w:fill="FFFFFF"/>
        </w:rPr>
        <w:t xml:space="preserve">, 2020 [Tesis de posgrado, Universidad Nacional del Callao]. Repositorio Institucional UNAC.  </w:t>
      </w:r>
      <w:hyperlink r:id="rId21" w:history="1">
        <w:r w:rsidRPr="00141C30">
          <w:rPr>
            <w:rStyle w:val="Hipervnculo"/>
            <w:rFonts w:eastAsia="Aptos" w:cs="Times New Roman"/>
            <w:szCs w:val="24"/>
            <w:shd w:val="clear" w:color="auto" w:fill="FFFFFF"/>
          </w:rPr>
          <w:t>https://repositorio.unac.edu.pe/handle/20.500.12952/5738</w:t>
        </w:r>
      </w:hyperlink>
    </w:p>
    <w:p w:rsidR="00161A13" w:rsidRDefault="00161A13" w:rsidP="00161A13">
      <w:pPr>
        <w:spacing w:line="480" w:lineRule="auto"/>
        <w:ind w:left="567" w:hanging="578"/>
        <w:rPr>
          <w:rFonts w:eastAsia="Aptos" w:cs="Times New Roman"/>
          <w:color w:val="222222"/>
          <w:szCs w:val="24"/>
          <w:shd w:val="clear" w:color="auto" w:fill="FFFFFF"/>
        </w:rPr>
      </w:pPr>
      <w:r w:rsidRPr="00141C30">
        <w:rPr>
          <w:rFonts w:eastAsia="Aptos" w:cs="Times New Roman"/>
          <w:color w:val="222222"/>
          <w:szCs w:val="24"/>
          <w:shd w:val="clear" w:color="auto" w:fill="FFFFFF"/>
        </w:rPr>
        <w:t xml:space="preserve">Rahman, MM, Khan, SJ, Tanni, KN, Roy, T., Chisty, MA, Islam, MR, e Islam, ARMT (2022). </w:t>
      </w:r>
      <w:r w:rsidRPr="00161A13">
        <w:rPr>
          <w:rFonts w:eastAsia="Aptos" w:cs="Times New Roman"/>
          <w:color w:val="222222"/>
          <w:szCs w:val="24"/>
          <w:shd w:val="clear" w:color="auto" w:fill="FFFFFF"/>
        </w:rPr>
        <w:t xml:space="preserve">Conocimientos, actitudes y prácticas sobre el dengue entre estudiantes universitarios de la ciudad de Dhaka, Bangladesh. </w:t>
      </w:r>
      <w:r w:rsidRPr="00161A13">
        <w:rPr>
          <w:rFonts w:eastAsia="Aptos" w:cs="Times New Roman"/>
          <w:i/>
          <w:iCs/>
          <w:color w:val="222222"/>
          <w:szCs w:val="24"/>
          <w:shd w:val="clear" w:color="auto" w:fill="FFFFFF"/>
        </w:rPr>
        <w:t>Revista Internacional de Investigación Ambiental y Salud Pública</w:t>
      </w:r>
      <w:r w:rsidRPr="00161A13">
        <w:rPr>
          <w:rFonts w:eastAsia="Aptos" w:cs="Times New Roman"/>
          <w:color w:val="222222"/>
          <w:szCs w:val="24"/>
          <w:shd w:val="clear" w:color="auto" w:fill="FFFFFF"/>
        </w:rPr>
        <w:t xml:space="preserve">, 19(7), 4023.  </w:t>
      </w:r>
      <w:hyperlink r:id="rId22" w:history="1">
        <w:r w:rsidRPr="00205965">
          <w:rPr>
            <w:rStyle w:val="Hipervnculo"/>
            <w:rFonts w:eastAsia="Aptos" w:cs="Times New Roman"/>
            <w:szCs w:val="24"/>
            <w:shd w:val="clear" w:color="auto" w:fill="FFFFFF"/>
          </w:rPr>
          <w:t>https://www.mdpi.com/1660-4601/19/7/4023</w:t>
        </w:r>
      </w:hyperlink>
    </w:p>
    <w:p w:rsidR="00161A13" w:rsidRDefault="00161A13" w:rsidP="00161A13">
      <w:pPr>
        <w:spacing w:line="480" w:lineRule="auto"/>
        <w:ind w:left="567" w:hanging="578"/>
        <w:rPr>
          <w:rFonts w:eastAsia="Aptos" w:cs="Times New Roman"/>
          <w:color w:val="222222"/>
          <w:szCs w:val="24"/>
          <w:shd w:val="clear" w:color="auto" w:fill="FFFFFF"/>
        </w:rPr>
      </w:pPr>
      <w:r w:rsidRPr="00161A13">
        <w:rPr>
          <w:rFonts w:eastAsia="Aptos" w:cs="Times New Roman"/>
          <w:color w:val="222222"/>
          <w:szCs w:val="24"/>
          <w:shd w:val="clear" w:color="auto" w:fill="FFFFFF"/>
        </w:rPr>
        <w:t xml:space="preserve">Selvarajoo, S., Liew, JWK, Tan, W., Lim, XY, Refai, WF, Zaki, RA y Vythilingam, I. (2020). Conocimientos, actitudes y prácticas sobre la prevención del dengue y la seroprevalencia del dengue en una zona endémica de Malasia: un estudio transversal. </w:t>
      </w:r>
      <w:r w:rsidRPr="00161A13">
        <w:rPr>
          <w:rFonts w:eastAsia="Aptos" w:cs="Times New Roman"/>
          <w:i/>
          <w:iCs/>
          <w:color w:val="222222"/>
          <w:szCs w:val="24"/>
          <w:shd w:val="clear" w:color="auto" w:fill="FFFFFF"/>
        </w:rPr>
        <w:t>ScientificReports</w:t>
      </w:r>
      <w:r w:rsidRPr="00161A13">
        <w:rPr>
          <w:rFonts w:eastAsia="Aptos" w:cs="Times New Roman"/>
          <w:color w:val="222222"/>
          <w:szCs w:val="24"/>
          <w:shd w:val="clear" w:color="auto" w:fill="FFFFFF"/>
        </w:rPr>
        <w:t xml:space="preserve">, 10(1), 9534.  </w:t>
      </w:r>
      <w:hyperlink r:id="rId23" w:history="1">
        <w:r w:rsidRPr="00205965">
          <w:rPr>
            <w:rStyle w:val="Hipervnculo"/>
            <w:rFonts w:eastAsia="Aptos" w:cs="Times New Roman"/>
            <w:szCs w:val="24"/>
            <w:shd w:val="clear" w:color="auto" w:fill="FFFFFF"/>
          </w:rPr>
          <w:t>https://www.nature.com/articles/s41598-020-66212-5</w:t>
        </w:r>
      </w:hyperlink>
    </w:p>
    <w:p w:rsidR="00161A13" w:rsidRDefault="00161A13" w:rsidP="00161A13">
      <w:pPr>
        <w:spacing w:line="480" w:lineRule="auto"/>
        <w:ind w:left="567" w:hanging="578"/>
        <w:rPr>
          <w:rFonts w:eastAsia="Aptos" w:cs="Times New Roman"/>
          <w:color w:val="auto"/>
        </w:rPr>
      </w:pPr>
      <w:r w:rsidRPr="00161A13">
        <w:rPr>
          <w:rFonts w:eastAsia="Aptos" w:cs="Times New Roman"/>
          <w:color w:val="222222"/>
          <w:szCs w:val="24"/>
          <w:shd w:val="clear" w:color="auto" w:fill="FFFFFF"/>
        </w:rPr>
        <w:t>Sotelo Nestarez, GJ, Delgado Romero, EE, &amp;MarinSinarahua, H. (2021</w:t>
      </w:r>
      <w:r w:rsidRPr="00161A13">
        <w:rPr>
          <w:rFonts w:eastAsia="Aptos" w:cs="Times New Roman"/>
          <w:i/>
          <w:iCs/>
          <w:color w:val="222222"/>
          <w:szCs w:val="24"/>
          <w:shd w:val="clear" w:color="auto" w:fill="FFFFFF"/>
        </w:rPr>
        <w:t>). Grado de conocimiento sobre dengue y medidas preventivas en el distrito de San Clemente, Pisco-octubre 2020</w:t>
      </w:r>
      <w:r w:rsidRPr="00161A13">
        <w:rPr>
          <w:rFonts w:eastAsia="Aptos" w:cs="Times New Roman"/>
          <w:color w:val="222222"/>
          <w:szCs w:val="24"/>
          <w:shd w:val="clear" w:color="auto" w:fill="FFFFFF"/>
        </w:rPr>
        <w:t xml:space="preserve"> [Tesis de posgrado, Universidad Autónoma de Ica]. Repositorio Institucional</w:t>
      </w:r>
      <w:r>
        <w:rPr>
          <w:rFonts w:eastAsia="Aptos" w:cs="Times New Roman"/>
          <w:color w:val="222222"/>
          <w:szCs w:val="24"/>
          <w:shd w:val="clear" w:color="auto" w:fill="FFFFFF"/>
        </w:rPr>
        <w:tab/>
      </w:r>
      <w:r w:rsidRPr="00161A13">
        <w:rPr>
          <w:rFonts w:eastAsia="Aptos" w:cs="Times New Roman"/>
          <w:color w:val="222222"/>
          <w:szCs w:val="24"/>
          <w:shd w:val="clear" w:color="auto" w:fill="FFFFFF"/>
        </w:rPr>
        <w:t>UADI.</w:t>
      </w:r>
      <w:hyperlink r:id="rId24" w:history="1">
        <w:r w:rsidRPr="00205965">
          <w:rPr>
            <w:rStyle w:val="Hipervnculo"/>
            <w:rFonts w:eastAsia="Aptos" w:cs="Times New Roman"/>
          </w:rPr>
          <w:t>https://www.repositorio.autonomadeica.edu.pe/handle/autonomadeica/983</w:t>
        </w:r>
      </w:hyperlink>
    </w:p>
    <w:p w:rsidR="00161A13" w:rsidRDefault="00161A13" w:rsidP="00161A13">
      <w:pPr>
        <w:spacing w:line="480" w:lineRule="auto"/>
        <w:ind w:left="567" w:hanging="578"/>
        <w:rPr>
          <w:rFonts w:eastAsia="Aptos" w:cs="Times New Roman"/>
          <w:color w:val="222222"/>
          <w:szCs w:val="24"/>
          <w:shd w:val="clear" w:color="auto" w:fill="FFFFFF"/>
        </w:rPr>
      </w:pPr>
      <w:r w:rsidRPr="00161A13">
        <w:rPr>
          <w:rFonts w:eastAsia="Aptos" w:cs="Times New Roman"/>
          <w:color w:val="222222"/>
          <w:szCs w:val="24"/>
          <w:shd w:val="clear" w:color="auto" w:fill="FFFFFF"/>
        </w:rPr>
        <w:t>Tuirán Cardona, KDC (2021</w:t>
      </w:r>
      <w:r w:rsidRPr="00161A13">
        <w:rPr>
          <w:rFonts w:eastAsia="Aptos" w:cs="Times New Roman"/>
          <w:i/>
          <w:iCs/>
          <w:color w:val="222222"/>
          <w:szCs w:val="24"/>
          <w:shd w:val="clear" w:color="auto" w:fill="FFFFFF"/>
        </w:rPr>
        <w:t>). Facilitadores y barreras en la adopción de prácticas preventivas del dengue en habitantes de Montería, Córdoba</w:t>
      </w:r>
      <w:r w:rsidRPr="00161A13">
        <w:rPr>
          <w:rFonts w:eastAsia="Aptos" w:cs="Times New Roman"/>
          <w:color w:val="222222"/>
          <w:szCs w:val="24"/>
          <w:shd w:val="clear" w:color="auto" w:fill="FFFFFF"/>
        </w:rPr>
        <w:t xml:space="preserve"> [Tesis de posgrado, Universidad de Córdoba].</w:t>
      </w:r>
      <w:hyperlink r:id="rId25" w:history="1">
        <w:r w:rsidRPr="00205965">
          <w:rPr>
            <w:rStyle w:val="Hipervnculo"/>
            <w:rFonts w:eastAsia="Aptos" w:cs="Times New Roman"/>
            <w:szCs w:val="24"/>
            <w:shd w:val="clear" w:color="auto" w:fill="FFFFFF"/>
          </w:rPr>
          <w:t>https://repositorio.unicordoba.edu.co/server/api/core/bitstreams/7629869c-dfd1-4900-9870-bfdd7b87e9d6/content</w:t>
        </w:r>
      </w:hyperlink>
    </w:p>
    <w:p w:rsidR="00161A13" w:rsidRPr="00161A13" w:rsidRDefault="00161A13" w:rsidP="00161A13">
      <w:pPr>
        <w:spacing w:line="480" w:lineRule="auto"/>
        <w:ind w:left="567" w:hanging="578"/>
        <w:rPr>
          <w:rFonts w:eastAsia="Aptos" w:cs="Times New Roman"/>
          <w:color w:val="222222"/>
          <w:szCs w:val="24"/>
          <w:shd w:val="clear" w:color="auto" w:fill="FFFFFF"/>
        </w:rPr>
      </w:pPr>
    </w:p>
    <w:p w:rsidR="001B766E" w:rsidRPr="00161A13" w:rsidRDefault="001B766E" w:rsidP="001B766E">
      <w:pPr>
        <w:widowControl w:val="0"/>
        <w:autoSpaceDE w:val="0"/>
        <w:autoSpaceDN w:val="0"/>
        <w:spacing w:line="480" w:lineRule="auto"/>
        <w:ind w:left="567" w:hanging="567"/>
        <w:rPr>
          <w:rFonts w:cs="Times New Roman"/>
          <w:b/>
          <w:bCs/>
          <w:szCs w:val="24"/>
        </w:rPr>
      </w:pPr>
    </w:p>
    <w:sectPr w:rsidR="001B766E" w:rsidRPr="00161A13" w:rsidSect="00D05FAA">
      <w:footerReference w:type="default" r:id="rId26"/>
      <w:pgSz w:w="11907" w:h="16840"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FD" w:rsidRDefault="005432FD" w:rsidP="007F59AF">
      <w:pPr>
        <w:spacing w:line="240" w:lineRule="auto"/>
      </w:pPr>
      <w:r>
        <w:separator/>
      </w:r>
    </w:p>
  </w:endnote>
  <w:endnote w:type="continuationSeparator" w:id="1">
    <w:p w:rsidR="005432FD" w:rsidRDefault="005432FD" w:rsidP="007F59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326415"/>
      <w:docPartObj>
        <w:docPartGallery w:val="Page Numbers (Bottom of Page)"/>
        <w:docPartUnique/>
      </w:docPartObj>
    </w:sdtPr>
    <w:sdtContent>
      <w:p w:rsidR="000B5AA7" w:rsidRDefault="00F70119">
        <w:pPr>
          <w:pStyle w:val="Piedepgina"/>
          <w:jc w:val="center"/>
        </w:pPr>
        <w:r>
          <w:fldChar w:fldCharType="begin"/>
        </w:r>
        <w:r w:rsidR="000B5AA7">
          <w:instrText>PAGE   \* MERGEFORMAT</w:instrText>
        </w:r>
        <w:r>
          <w:fldChar w:fldCharType="separate"/>
        </w:r>
        <w:r w:rsidR="00E44B73" w:rsidRPr="00E44B73">
          <w:rPr>
            <w:noProof/>
            <w:lang w:val="es-ES"/>
          </w:rPr>
          <w:t>6</w:t>
        </w:r>
        <w:r>
          <w:fldChar w:fldCharType="end"/>
        </w:r>
      </w:p>
    </w:sdtContent>
  </w:sdt>
  <w:p w:rsidR="000B5AA7" w:rsidRDefault="000B5A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FD" w:rsidRDefault="005432FD" w:rsidP="007F59AF">
      <w:pPr>
        <w:spacing w:line="240" w:lineRule="auto"/>
      </w:pPr>
      <w:r>
        <w:separator/>
      </w:r>
    </w:p>
  </w:footnote>
  <w:footnote w:type="continuationSeparator" w:id="1">
    <w:p w:rsidR="005432FD" w:rsidRDefault="005432FD" w:rsidP="007F59A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84B"/>
    <w:multiLevelType w:val="multilevel"/>
    <w:tmpl w:val="78AC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9753A"/>
    <w:multiLevelType w:val="multilevel"/>
    <w:tmpl w:val="1C86954C"/>
    <w:lvl w:ilvl="0">
      <w:start w:val="1"/>
      <w:numFmt w:val="upperRoman"/>
      <w:lvlText w:val="%1."/>
      <w:lvlJc w:val="left"/>
      <w:pPr>
        <w:ind w:left="6107" w:hanging="72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4237" w:hanging="720"/>
      </w:pPr>
      <w:rPr>
        <w:rFonts w:hint="default"/>
        <w:b/>
        <w:bCs/>
        <w:i/>
        <w:iCs/>
      </w:rPr>
    </w:lvl>
    <w:lvl w:ilvl="3">
      <w:start w:val="1"/>
      <w:numFmt w:val="decimal"/>
      <w:isLgl/>
      <w:lvlText w:val="%1.%2.%3.%4."/>
      <w:lvlJc w:val="left"/>
      <w:pPr>
        <w:ind w:left="5915"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9631" w:hanging="1080"/>
      </w:pPr>
      <w:rPr>
        <w:rFonts w:hint="default"/>
      </w:rPr>
    </w:lvl>
    <w:lvl w:ilvl="6">
      <w:start w:val="1"/>
      <w:numFmt w:val="decimal"/>
      <w:isLgl/>
      <w:lvlText w:val="%1.%2.%3.%4.%5.%6.%7."/>
      <w:lvlJc w:val="left"/>
      <w:pPr>
        <w:ind w:left="11669"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85" w:hanging="1800"/>
      </w:pPr>
      <w:rPr>
        <w:rFonts w:hint="default"/>
      </w:rPr>
    </w:lvl>
  </w:abstractNum>
  <w:abstractNum w:abstractNumId="2">
    <w:nsid w:val="048165E3"/>
    <w:multiLevelType w:val="multilevel"/>
    <w:tmpl w:val="170C9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E4BB1"/>
    <w:multiLevelType w:val="hybridMultilevel"/>
    <w:tmpl w:val="F6666386"/>
    <w:lvl w:ilvl="0" w:tplc="8E10A544">
      <w:start w:val="1"/>
      <w:numFmt w:val="lowerLetter"/>
      <w:lvlText w:val="%1."/>
      <w:lvlJc w:val="left"/>
      <w:pPr>
        <w:ind w:left="426" w:hanging="360"/>
      </w:pPr>
      <w:rPr>
        <w:rFonts w:hint="default"/>
        <w:b w:val="0"/>
        <w:bCs/>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4">
    <w:nsid w:val="0FB82648"/>
    <w:multiLevelType w:val="hybridMultilevel"/>
    <w:tmpl w:val="C2F827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2A03B42"/>
    <w:multiLevelType w:val="hybridMultilevel"/>
    <w:tmpl w:val="5D948B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nsid w:val="12ED403C"/>
    <w:multiLevelType w:val="hybridMultilevel"/>
    <w:tmpl w:val="E7F4259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13E60AA2"/>
    <w:multiLevelType w:val="multilevel"/>
    <w:tmpl w:val="192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E4A18"/>
    <w:multiLevelType w:val="hybridMultilevel"/>
    <w:tmpl w:val="32F429CA"/>
    <w:lvl w:ilvl="0" w:tplc="78DC36EC">
      <w:start w:val="1"/>
      <w:numFmt w:val="lowerLetter"/>
      <w:lvlText w:val="%1."/>
      <w:lvlJc w:val="left"/>
      <w:pPr>
        <w:ind w:left="272" w:hanging="360"/>
      </w:pPr>
      <w:rPr>
        <w:rFonts w:hint="default"/>
        <w:b w:val="0"/>
        <w:bCs/>
      </w:rPr>
    </w:lvl>
    <w:lvl w:ilvl="1" w:tplc="280A0019" w:tentative="1">
      <w:start w:val="1"/>
      <w:numFmt w:val="lowerLetter"/>
      <w:lvlText w:val="%2."/>
      <w:lvlJc w:val="left"/>
      <w:pPr>
        <w:ind w:left="992" w:hanging="360"/>
      </w:pPr>
    </w:lvl>
    <w:lvl w:ilvl="2" w:tplc="280A001B" w:tentative="1">
      <w:start w:val="1"/>
      <w:numFmt w:val="lowerRoman"/>
      <w:lvlText w:val="%3."/>
      <w:lvlJc w:val="right"/>
      <w:pPr>
        <w:ind w:left="1712" w:hanging="180"/>
      </w:pPr>
    </w:lvl>
    <w:lvl w:ilvl="3" w:tplc="280A000F" w:tentative="1">
      <w:start w:val="1"/>
      <w:numFmt w:val="decimal"/>
      <w:lvlText w:val="%4."/>
      <w:lvlJc w:val="left"/>
      <w:pPr>
        <w:ind w:left="2432" w:hanging="360"/>
      </w:pPr>
    </w:lvl>
    <w:lvl w:ilvl="4" w:tplc="280A0019" w:tentative="1">
      <w:start w:val="1"/>
      <w:numFmt w:val="lowerLetter"/>
      <w:lvlText w:val="%5."/>
      <w:lvlJc w:val="left"/>
      <w:pPr>
        <w:ind w:left="3152" w:hanging="360"/>
      </w:pPr>
    </w:lvl>
    <w:lvl w:ilvl="5" w:tplc="280A001B" w:tentative="1">
      <w:start w:val="1"/>
      <w:numFmt w:val="lowerRoman"/>
      <w:lvlText w:val="%6."/>
      <w:lvlJc w:val="right"/>
      <w:pPr>
        <w:ind w:left="3872" w:hanging="180"/>
      </w:pPr>
    </w:lvl>
    <w:lvl w:ilvl="6" w:tplc="280A000F" w:tentative="1">
      <w:start w:val="1"/>
      <w:numFmt w:val="decimal"/>
      <w:lvlText w:val="%7."/>
      <w:lvlJc w:val="left"/>
      <w:pPr>
        <w:ind w:left="4592" w:hanging="360"/>
      </w:pPr>
    </w:lvl>
    <w:lvl w:ilvl="7" w:tplc="280A0019" w:tentative="1">
      <w:start w:val="1"/>
      <w:numFmt w:val="lowerLetter"/>
      <w:lvlText w:val="%8."/>
      <w:lvlJc w:val="left"/>
      <w:pPr>
        <w:ind w:left="5312" w:hanging="360"/>
      </w:pPr>
    </w:lvl>
    <w:lvl w:ilvl="8" w:tplc="280A001B" w:tentative="1">
      <w:start w:val="1"/>
      <w:numFmt w:val="lowerRoman"/>
      <w:lvlText w:val="%9."/>
      <w:lvlJc w:val="right"/>
      <w:pPr>
        <w:ind w:left="6032" w:hanging="180"/>
      </w:pPr>
    </w:lvl>
  </w:abstractNum>
  <w:abstractNum w:abstractNumId="9">
    <w:nsid w:val="16C652BA"/>
    <w:multiLevelType w:val="hybridMultilevel"/>
    <w:tmpl w:val="ECA6437E"/>
    <w:lvl w:ilvl="0" w:tplc="28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1A670FC2"/>
    <w:multiLevelType w:val="hybridMultilevel"/>
    <w:tmpl w:val="4F6C6AC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1">
    <w:nsid w:val="1AE87C96"/>
    <w:multiLevelType w:val="multilevel"/>
    <w:tmpl w:val="CB8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BB4669"/>
    <w:multiLevelType w:val="hybridMultilevel"/>
    <w:tmpl w:val="D1924C8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1E136675"/>
    <w:multiLevelType w:val="multilevel"/>
    <w:tmpl w:val="D088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FC4F65"/>
    <w:multiLevelType w:val="hybridMultilevel"/>
    <w:tmpl w:val="249CCA20"/>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21130AF2"/>
    <w:multiLevelType w:val="hybridMultilevel"/>
    <w:tmpl w:val="2E4EBE3E"/>
    <w:lvl w:ilvl="0" w:tplc="8BA0248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2CE689F"/>
    <w:multiLevelType w:val="hybridMultilevel"/>
    <w:tmpl w:val="A0E4D5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3D716A8"/>
    <w:multiLevelType w:val="multilevel"/>
    <w:tmpl w:val="99D2A2F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DC467F"/>
    <w:multiLevelType w:val="hybridMultilevel"/>
    <w:tmpl w:val="5510A7E8"/>
    <w:lvl w:ilvl="0" w:tplc="280A0001">
      <w:start w:val="1"/>
      <w:numFmt w:val="bullet"/>
      <w:lvlText w:val=""/>
      <w:lvlJc w:val="left"/>
      <w:pPr>
        <w:ind w:left="720" w:hanging="360"/>
      </w:pPr>
      <w:rPr>
        <w:rFonts w:ascii="Symbol" w:hAnsi="Symbol" w:hint="default"/>
      </w:rPr>
    </w:lvl>
    <w:lvl w:ilvl="1" w:tplc="280A000F">
      <w:start w:val="1"/>
      <w:numFmt w:val="decimal"/>
      <w:lvlText w:val="%2."/>
      <w:lvlJc w:val="left"/>
      <w:pPr>
        <w:ind w:left="1440" w:hanging="360"/>
      </w:pPr>
      <w:rPr>
        <w:rFont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nsid w:val="2E720C3B"/>
    <w:multiLevelType w:val="multilevel"/>
    <w:tmpl w:val="B63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610F86"/>
    <w:multiLevelType w:val="multilevel"/>
    <w:tmpl w:val="669A8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A24C8F"/>
    <w:multiLevelType w:val="multilevel"/>
    <w:tmpl w:val="90D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DB3EB8"/>
    <w:multiLevelType w:val="multilevel"/>
    <w:tmpl w:val="CED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A354B1"/>
    <w:multiLevelType w:val="multilevel"/>
    <w:tmpl w:val="7FE61C94"/>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nsid w:val="3F5F67A5"/>
    <w:multiLevelType w:val="multilevel"/>
    <w:tmpl w:val="E3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8F453B"/>
    <w:multiLevelType w:val="multilevel"/>
    <w:tmpl w:val="536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283522"/>
    <w:multiLevelType w:val="multilevel"/>
    <w:tmpl w:val="264C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D923B4"/>
    <w:multiLevelType w:val="hybridMultilevel"/>
    <w:tmpl w:val="17128412"/>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nsid w:val="449556D1"/>
    <w:multiLevelType w:val="multilevel"/>
    <w:tmpl w:val="AB7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6E4AD3"/>
    <w:multiLevelType w:val="hybridMultilevel"/>
    <w:tmpl w:val="DF964258"/>
    <w:lvl w:ilvl="0" w:tplc="B948B930">
      <w:start w:val="1"/>
      <w:numFmt w:val="decimal"/>
      <w:lvlText w:val="%1"/>
      <w:lvlJc w:val="left"/>
      <w:pPr>
        <w:ind w:left="1429" w:hanging="360"/>
      </w:pPr>
      <w:rPr>
        <w:rFonts w:ascii="Times New Roman" w:eastAsia="Arial" w:hAnsi="Times New Roman" w:cs="Arial"/>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
    <w:nsid w:val="4BC459CB"/>
    <w:multiLevelType w:val="multilevel"/>
    <w:tmpl w:val="088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573E8D"/>
    <w:multiLevelType w:val="hybridMultilevel"/>
    <w:tmpl w:val="BA88A15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3">
    <w:nsid w:val="5D2B0D25"/>
    <w:multiLevelType w:val="hybridMultilevel"/>
    <w:tmpl w:val="FEDE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5E8C66EC"/>
    <w:multiLevelType w:val="hybridMultilevel"/>
    <w:tmpl w:val="775A1F1E"/>
    <w:lvl w:ilvl="0" w:tplc="0BBA4B30">
      <w:start w:val="1"/>
      <w:numFmt w:val="lowerLetter"/>
      <w:lvlText w:val="%1."/>
      <w:lvlJc w:val="left"/>
      <w:pPr>
        <w:ind w:left="403" w:hanging="360"/>
      </w:pPr>
      <w:rPr>
        <w:rFonts w:hint="default"/>
        <w:b w:val="0"/>
        <w:bCs/>
      </w:rPr>
    </w:lvl>
    <w:lvl w:ilvl="1" w:tplc="280A0019" w:tentative="1">
      <w:start w:val="1"/>
      <w:numFmt w:val="lowerLetter"/>
      <w:lvlText w:val="%2."/>
      <w:lvlJc w:val="left"/>
      <w:pPr>
        <w:ind w:left="1123" w:hanging="360"/>
      </w:pPr>
    </w:lvl>
    <w:lvl w:ilvl="2" w:tplc="280A001B" w:tentative="1">
      <w:start w:val="1"/>
      <w:numFmt w:val="lowerRoman"/>
      <w:lvlText w:val="%3."/>
      <w:lvlJc w:val="right"/>
      <w:pPr>
        <w:ind w:left="1843" w:hanging="180"/>
      </w:pPr>
    </w:lvl>
    <w:lvl w:ilvl="3" w:tplc="280A000F" w:tentative="1">
      <w:start w:val="1"/>
      <w:numFmt w:val="decimal"/>
      <w:lvlText w:val="%4."/>
      <w:lvlJc w:val="left"/>
      <w:pPr>
        <w:ind w:left="2563" w:hanging="360"/>
      </w:pPr>
    </w:lvl>
    <w:lvl w:ilvl="4" w:tplc="280A0019" w:tentative="1">
      <w:start w:val="1"/>
      <w:numFmt w:val="lowerLetter"/>
      <w:lvlText w:val="%5."/>
      <w:lvlJc w:val="left"/>
      <w:pPr>
        <w:ind w:left="3283" w:hanging="360"/>
      </w:pPr>
    </w:lvl>
    <w:lvl w:ilvl="5" w:tplc="280A001B" w:tentative="1">
      <w:start w:val="1"/>
      <w:numFmt w:val="lowerRoman"/>
      <w:lvlText w:val="%6."/>
      <w:lvlJc w:val="right"/>
      <w:pPr>
        <w:ind w:left="4003" w:hanging="180"/>
      </w:pPr>
    </w:lvl>
    <w:lvl w:ilvl="6" w:tplc="280A000F" w:tentative="1">
      <w:start w:val="1"/>
      <w:numFmt w:val="decimal"/>
      <w:lvlText w:val="%7."/>
      <w:lvlJc w:val="left"/>
      <w:pPr>
        <w:ind w:left="4723" w:hanging="360"/>
      </w:pPr>
    </w:lvl>
    <w:lvl w:ilvl="7" w:tplc="280A0019" w:tentative="1">
      <w:start w:val="1"/>
      <w:numFmt w:val="lowerLetter"/>
      <w:lvlText w:val="%8."/>
      <w:lvlJc w:val="left"/>
      <w:pPr>
        <w:ind w:left="5443" w:hanging="360"/>
      </w:pPr>
    </w:lvl>
    <w:lvl w:ilvl="8" w:tplc="280A001B" w:tentative="1">
      <w:start w:val="1"/>
      <w:numFmt w:val="lowerRoman"/>
      <w:lvlText w:val="%9."/>
      <w:lvlJc w:val="right"/>
      <w:pPr>
        <w:ind w:left="6163" w:hanging="180"/>
      </w:pPr>
    </w:lvl>
  </w:abstractNum>
  <w:abstractNum w:abstractNumId="35">
    <w:nsid w:val="655B2FEC"/>
    <w:multiLevelType w:val="multilevel"/>
    <w:tmpl w:val="5BD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45505"/>
    <w:multiLevelType w:val="hybridMultilevel"/>
    <w:tmpl w:val="ADD2DDF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nsid w:val="6E74397C"/>
    <w:multiLevelType w:val="hybridMultilevel"/>
    <w:tmpl w:val="C1BA7B8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70D725C7"/>
    <w:multiLevelType w:val="multilevel"/>
    <w:tmpl w:val="D100A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5BC10E6"/>
    <w:multiLevelType w:val="multilevel"/>
    <w:tmpl w:val="17D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8F0C14"/>
    <w:multiLevelType w:val="multilevel"/>
    <w:tmpl w:val="3CD8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1D1CBD"/>
    <w:multiLevelType w:val="multilevel"/>
    <w:tmpl w:val="64C8E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906C59"/>
    <w:multiLevelType w:val="multilevel"/>
    <w:tmpl w:val="CBF89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C44943"/>
    <w:multiLevelType w:val="multilevel"/>
    <w:tmpl w:val="AAB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8"/>
  </w:num>
  <w:num w:numId="4">
    <w:abstractNumId w:val="34"/>
  </w:num>
  <w:num w:numId="5">
    <w:abstractNumId w:val="8"/>
  </w:num>
  <w:num w:numId="6">
    <w:abstractNumId w:val="3"/>
  </w:num>
  <w:num w:numId="7">
    <w:abstractNumId w:val="18"/>
  </w:num>
  <w:num w:numId="8">
    <w:abstractNumId w:val="10"/>
  </w:num>
  <w:num w:numId="9">
    <w:abstractNumId w:val="16"/>
  </w:num>
  <w:num w:numId="10">
    <w:abstractNumId w:val="36"/>
  </w:num>
  <w:num w:numId="11">
    <w:abstractNumId w:val="30"/>
  </w:num>
  <w:num w:numId="12">
    <w:abstractNumId w:val="19"/>
  </w:num>
  <w:num w:numId="13">
    <w:abstractNumId w:val="17"/>
  </w:num>
  <w:num w:numId="14">
    <w:abstractNumId w:val="35"/>
  </w:num>
  <w:num w:numId="15">
    <w:abstractNumId w:val="41"/>
  </w:num>
  <w:num w:numId="16">
    <w:abstractNumId w:val="14"/>
  </w:num>
  <w:num w:numId="17">
    <w:abstractNumId w:val="24"/>
  </w:num>
  <w:num w:numId="18">
    <w:abstractNumId w:val="42"/>
  </w:num>
  <w:num w:numId="19">
    <w:abstractNumId w:val="13"/>
  </w:num>
  <w:num w:numId="20">
    <w:abstractNumId w:val="31"/>
  </w:num>
  <w:num w:numId="21">
    <w:abstractNumId w:val="20"/>
  </w:num>
  <w:num w:numId="22">
    <w:abstractNumId w:val="22"/>
  </w:num>
  <w:num w:numId="23">
    <w:abstractNumId w:val="39"/>
  </w:num>
  <w:num w:numId="24">
    <w:abstractNumId w:val="37"/>
  </w:num>
  <w:num w:numId="25">
    <w:abstractNumId w:val="15"/>
  </w:num>
  <w:num w:numId="26">
    <w:abstractNumId w:val="12"/>
  </w:num>
  <w:num w:numId="27">
    <w:abstractNumId w:val="32"/>
  </w:num>
  <w:num w:numId="28">
    <w:abstractNumId w:val="6"/>
  </w:num>
  <w:num w:numId="29">
    <w:abstractNumId w:val="4"/>
  </w:num>
  <w:num w:numId="30">
    <w:abstractNumId w:val="5"/>
  </w:num>
  <w:num w:numId="31">
    <w:abstractNumId w:val="33"/>
  </w:num>
  <w:num w:numId="32">
    <w:abstractNumId w:val="40"/>
  </w:num>
  <w:num w:numId="33">
    <w:abstractNumId w:val="0"/>
  </w:num>
  <w:num w:numId="34">
    <w:abstractNumId w:val="21"/>
  </w:num>
  <w:num w:numId="35">
    <w:abstractNumId w:val="2"/>
  </w:num>
  <w:num w:numId="36">
    <w:abstractNumId w:val="9"/>
  </w:num>
  <w:num w:numId="37">
    <w:abstractNumId w:val="11"/>
  </w:num>
  <w:num w:numId="38">
    <w:abstractNumId w:val="7"/>
  </w:num>
  <w:num w:numId="39">
    <w:abstractNumId w:val="29"/>
  </w:num>
  <w:num w:numId="40">
    <w:abstractNumId w:val="43"/>
  </w:num>
  <w:num w:numId="41">
    <w:abstractNumId w:val="25"/>
  </w:num>
  <w:num w:numId="42">
    <w:abstractNumId w:val="27"/>
  </w:num>
  <w:num w:numId="43">
    <w:abstractNumId w:val="26"/>
  </w:num>
  <w:num w:numId="44">
    <w:abstractNumId w:val="23"/>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60A18"/>
    <w:rsid w:val="0002329A"/>
    <w:rsid w:val="000B5AA7"/>
    <w:rsid w:val="00101D2A"/>
    <w:rsid w:val="00127E37"/>
    <w:rsid w:val="00141C30"/>
    <w:rsid w:val="00143F7C"/>
    <w:rsid w:val="0015285D"/>
    <w:rsid w:val="00161A13"/>
    <w:rsid w:val="00164775"/>
    <w:rsid w:val="001B766E"/>
    <w:rsid w:val="001C714F"/>
    <w:rsid w:val="00200004"/>
    <w:rsid w:val="00211E39"/>
    <w:rsid w:val="00221EE9"/>
    <w:rsid w:val="002A7586"/>
    <w:rsid w:val="002D606C"/>
    <w:rsid w:val="002F3ECF"/>
    <w:rsid w:val="003073E5"/>
    <w:rsid w:val="00382DA5"/>
    <w:rsid w:val="00392F41"/>
    <w:rsid w:val="003B6A69"/>
    <w:rsid w:val="003E08AB"/>
    <w:rsid w:val="003F28B9"/>
    <w:rsid w:val="0040082C"/>
    <w:rsid w:val="00431108"/>
    <w:rsid w:val="00463F8F"/>
    <w:rsid w:val="004B48E0"/>
    <w:rsid w:val="00506780"/>
    <w:rsid w:val="005166DC"/>
    <w:rsid w:val="00530A8F"/>
    <w:rsid w:val="005432FD"/>
    <w:rsid w:val="00567D28"/>
    <w:rsid w:val="0059230D"/>
    <w:rsid w:val="006121D2"/>
    <w:rsid w:val="00613593"/>
    <w:rsid w:val="006464DA"/>
    <w:rsid w:val="00665243"/>
    <w:rsid w:val="00680D71"/>
    <w:rsid w:val="006F30C5"/>
    <w:rsid w:val="0070798B"/>
    <w:rsid w:val="00721920"/>
    <w:rsid w:val="0077313F"/>
    <w:rsid w:val="0079562A"/>
    <w:rsid w:val="007E24DF"/>
    <w:rsid w:val="007F2702"/>
    <w:rsid w:val="007F59AF"/>
    <w:rsid w:val="00821BAF"/>
    <w:rsid w:val="00826422"/>
    <w:rsid w:val="00832464"/>
    <w:rsid w:val="008C4644"/>
    <w:rsid w:val="008C75C6"/>
    <w:rsid w:val="008E02B5"/>
    <w:rsid w:val="00900F50"/>
    <w:rsid w:val="009146A6"/>
    <w:rsid w:val="009210B2"/>
    <w:rsid w:val="00925314"/>
    <w:rsid w:val="00947B7F"/>
    <w:rsid w:val="00957BC4"/>
    <w:rsid w:val="00980455"/>
    <w:rsid w:val="00996D0F"/>
    <w:rsid w:val="00AC3646"/>
    <w:rsid w:val="00B12790"/>
    <w:rsid w:val="00B15060"/>
    <w:rsid w:val="00B23013"/>
    <w:rsid w:val="00BE0B25"/>
    <w:rsid w:val="00BF5831"/>
    <w:rsid w:val="00C02CB7"/>
    <w:rsid w:val="00C10222"/>
    <w:rsid w:val="00C1166F"/>
    <w:rsid w:val="00C1312D"/>
    <w:rsid w:val="00C35D18"/>
    <w:rsid w:val="00C50A66"/>
    <w:rsid w:val="00C7614B"/>
    <w:rsid w:val="00C9268F"/>
    <w:rsid w:val="00C9675B"/>
    <w:rsid w:val="00CA5B23"/>
    <w:rsid w:val="00CB6107"/>
    <w:rsid w:val="00CD2D5C"/>
    <w:rsid w:val="00CF4DA7"/>
    <w:rsid w:val="00D05FAA"/>
    <w:rsid w:val="00D24A16"/>
    <w:rsid w:val="00D338F4"/>
    <w:rsid w:val="00D82091"/>
    <w:rsid w:val="00D84CE8"/>
    <w:rsid w:val="00D86912"/>
    <w:rsid w:val="00D8797B"/>
    <w:rsid w:val="00DA70E4"/>
    <w:rsid w:val="00DB1DB8"/>
    <w:rsid w:val="00DB6CD8"/>
    <w:rsid w:val="00DC73DF"/>
    <w:rsid w:val="00DE15EC"/>
    <w:rsid w:val="00DE6DAA"/>
    <w:rsid w:val="00E44B73"/>
    <w:rsid w:val="00E617E9"/>
    <w:rsid w:val="00E62045"/>
    <w:rsid w:val="00F07300"/>
    <w:rsid w:val="00F148EC"/>
    <w:rsid w:val="00F47BC5"/>
    <w:rsid w:val="00F60A18"/>
    <w:rsid w:val="00F70119"/>
    <w:rsid w:val="00F91108"/>
    <w:rsid w:val="00F9755A"/>
    <w:rsid w:val="00FA523C"/>
    <w:rsid w:val="00FC36D5"/>
    <w:rsid w:val="00FE08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37"/>
    <w:pPr>
      <w:spacing w:after="0" w:line="36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2"/>
      </w:numPr>
      <w:autoSpaceDE w:val="0"/>
      <w:autoSpaceDN w:val="0"/>
      <w:spacing w:before="97" w:line="480" w:lineRule="auto"/>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2"/>
      </w:numPr>
      <w:autoSpaceDE w:val="0"/>
      <w:autoSpaceDN w:val="0"/>
      <w:spacing w:line="480" w:lineRule="auto"/>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2"/>
      </w:numPr>
      <w:autoSpaceDE w:val="0"/>
      <w:autoSpaceDN w:val="0"/>
      <w:spacing w:before="40" w:line="480" w:lineRule="auto"/>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2"/>
      </w:numPr>
      <w:autoSpaceDE w:val="0"/>
      <w:autoSpaceDN w:val="0"/>
      <w:spacing w:line="480" w:lineRule="auto"/>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2"/>
      </w:numPr>
      <w:autoSpaceDE w:val="0"/>
      <w:autoSpaceDN w:val="0"/>
      <w:spacing w:line="480" w:lineRule="auto"/>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2"/>
      </w:numPr>
      <w:autoSpaceDE w:val="0"/>
      <w:autoSpaceDN w:val="0"/>
      <w:spacing w:line="480" w:lineRule="auto"/>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2"/>
      </w:numPr>
      <w:autoSpaceDE w:val="0"/>
      <w:autoSpaceDN w:val="0"/>
      <w:spacing w:before="40" w:line="480" w:lineRule="auto"/>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2"/>
      </w:numPr>
      <w:autoSpaceDE w:val="0"/>
      <w:autoSpaceDN w:val="0"/>
      <w:spacing w:line="480" w:lineRule="auto"/>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2"/>
      </w:numPr>
      <w:autoSpaceDE w:val="0"/>
      <w:autoSpaceDN w:val="0"/>
      <w:spacing w:line="480" w:lineRule="auto"/>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spacing w:line="480" w:lineRule="auto"/>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spacing w:line="480" w:lineRule="auto"/>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spacing w:line="480" w:lineRule="auto"/>
    </w:pPr>
    <w:rPr>
      <w:rFonts w:eastAsia="Arial" w:cs="Arial"/>
      <w:color w:val="000000"/>
      <w:lang w:val="es-ES"/>
    </w:rPr>
  </w:style>
  <w:style w:type="paragraph" w:styleId="Epgrafe">
    <w:name w:val="caption"/>
    <w:basedOn w:val="Normal"/>
    <w:next w:val="Normal"/>
    <w:link w:val="Epgrafe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de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line="480" w:lineRule="auto"/>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spacing w:line="480" w:lineRule="auto"/>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spacing w:line="480" w:lineRule="auto"/>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spacing w:line="480" w:lineRule="auto"/>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spacing w:line="480" w:lineRule="auto"/>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line="480" w:lineRule="auto"/>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EpgrafeCar">
    <w:name w:val="Epígrafe Car"/>
    <w:link w:val="Epgrafe"/>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spacing w:line="480" w:lineRule="auto"/>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spacing w:line="480" w:lineRule="auto"/>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spacing w:line="480" w:lineRule="auto"/>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spacing w:line="480" w:lineRule="auto"/>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spacing w:line="480" w:lineRule="auto"/>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spacing w:line="480" w:lineRule="auto"/>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line="480" w:lineRule="auto"/>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line="480" w:lineRule="auto"/>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spacing w:line="480" w:lineRule="auto"/>
    </w:pPr>
    <w:rPr>
      <w:rFonts w:eastAsia="Arial" w:cs="Arial"/>
      <w:color w:val="000000"/>
      <w:lang w:val="es-ES"/>
    </w:rPr>
  </w:style>
  <w:style w:type="character" w:customStyle="1" w:styleId="UnresolvedMention">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PlainTable2"/>
    <w:uiPriority w:val="42"/>
    <w:rsid w:val="00164775"/>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anormal"/>
    <w:uiPriority w:val="42"/>
    <w:rsid w:val="0016477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PlainTable2"/>
    <w:uiPriority w:val="42"/>
    <w:rsid w:val="00164775"/>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PlainTable2"/>
    <w:uiPriority w:val="42"/>
    <w:rsid w:val="00164775"/>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PlainTable2"/>
    <w:uiPriority w:val="42"/>
    <w:rsid w:val="00200004"/>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PlainTable2"/>
    <w:uiPriority w:val="42"/>
    <w:rsid w:val="00200004"/>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PlainTable2"/>
    <w:uiPriority w:val="42"/>
    <w:rsid w:val="00200004"/>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PlainTable2"/>
    <w:uiPriority w:val="42"/>
    <w:rsid w:val="00200004"/>
    <w:pPr>
      <w:spacing w:after="0" w:line="240" w:lineRule="auto"/>
    </w:pPr>
    <w:rPr>
      <w:rFonts w:eastAsia="Times New Roman"/>
      <w:lang w:val="es-MX" w:eastAsia="es-MX"/>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globo">
    <w:name w:val="Balloon Text"/>
    <w:basedOn w:val="Normal"/>
    <w:link w:val="TextodegloboCar"/>
    <w:uiPriority w:val="99"/>
    <w:semiHidden/>
    <w:unhideWhenUsed/>
    <w:rsid w:val="00E44B7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B73"/>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s://repositorio.unsch.edu.pe/server/api/core/bitstreams/749fd400-12ad-4543-959e-fa2876baa8ea/cont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positorio.unac.edu.pe/handle/20.500.12952/5738"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repositorio.unc.edu.pe/handle/20.500.14074/4296" TargetMode="External"/><Relationship Id="rId25" Type="http://schemas.openxmlformats.org/officeDocument/2006/relationships/hyperlink" Target="https://repositorio.unicordoba.edu.co/server/api/core/bitstreams/7629869c-dfd1-4900-9870-bfdd7b87e9d6/content" TargetMode="External"/><Relationship Id="rId2" Type="http://schemas.openxmlformats.org/officeDocument/2006/relationships/numbering" Target="numbering.xml"/><Relationship Id="rId16" Type="http://schemas.openxmlformats.org/officeDocument/2006/relationships/hyperlink" Target="https://doi.org/10.18004/imt/20191411-2" TargetMode="External"/><Relationship Id="rId20" Type="http://schemas.openxmlformats.org/officeDocument/2006/relationships/hyperlink" Target="https://www.scielo.br/j/aib/a/pftrVVjwGknNPMMC33zk7M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repositorio.autonomadeica.edu.pe/handle/autonomadeica/983"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ature.com/articles/s41598-020-66212-5"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tesis.usat.edu.pe/handle/20.500.12423/710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hyperlink" Target="https://www.mdpi.com/1660-4601/19/7/402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dre\Downloads\PUNTAJES%20%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ndre\Downloads\PUNTAJES%20%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dre\Downloads\PUNTAJES%20%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ndre\Downloads\PUNTAJES%20%20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Hoja2!$B$2:$B$9</c:f>
              <c:strCache>
                <c:ptCount val="8"/>
                <c:pt idx="0">
                  <c:v>11</c:v>
                </c:pt>
                <c:pt idx="1">
                  <c:v>12</c:v>
                </c:pt>
                <c:pt idx="2">
                  <c:v>13</c:v>
                </c:pt>
                <c:pt idx="3">
                  <c:v>14</c:v>
                </c:pt>
                <c:pt idx="4">
                  <c:v>15</c:v>
                </c:pt>
                <c:pt idx="5">
                  <c:v>16</c:v>
                </c:pt>
                <c:pt idx="6">
                  <c:v>17</c:v>
                </c:pt>
                <c:pt idx="7">
                  <c:v>18</c:v>
                </c:pt>
              </c:strCache>
            </c:strRef>
          </c:cat>
          <c:val>
            <c:numRef>
              <c:f>Hoja2!$C$2:$C$9</c:f>
            </c:numRef>
          </c:val>
          <c:extLst xmlns:c16r2="http://schemas.microsoft.com/office/drawing/2015/06/chart">
            <c:ext xmlns:c16="http://schemas.microsoft.com/office/drawing/2014/chart" uri="{C3380CC4-5D6E-409C-BE32-E72D297353CC}">
              <c16:uniqueId val="{00000000-6260-41C6-84F5-31864204869F}"/>
            </c:ext>
          </c:extLst>
        </c:ser>
        <c:ser>
          <c:idx val="1"/>
          <c:order val="1"/>
          <c:spPr>
            <a:solidFill>
              <a:schemeClr val="accent2"/>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Hoja2!$B$2:$B$9</c:f>
              <c:strCache>
                <c:ptCount val="8"/>
                <c:pt idx="0">
                  <c:v>11</c:v>
                </c:pt>
                <c:pt idx="1">
                  <c:v>12</c:v>
                </c:pt>
                <c:pt idx="2">
                  <c:v>13</c:v>
                </c:pt>
                <c:pt idx="3">
                  <c:v>14</c:v>
                </c:pt>
                <c:pt idx="4">
                  <c:v>15</c:v>
                </c:pt>
                <c:pt idx="5">
                  <c:v>16</c:v>
                </c:pt>
                <c:pt idx="6">
                  <c:v>17</c:v>
                </c:pt>
                <c:pt idx="7">
                  <c:v>18</c:v>
                </c:pt>
              </c:strCache>
            </c:strRef>
          </c:cat>
          <c:val>
            <c:numRef>
              <c:f>Hoja2!$D$2:$D$9</c:f>
              <c:numCache>
                <c:formatCode>###0.0%</c:formatCode>
                <c:ptCount val="8"/>
                <c:pt idx="0">
                  <c:v>2.8735632183908054E-3</c:v>
                </c:pt>
                <c:pt idx="1">
                  <c:v>0.11781609195402298</c:v>
                </c:pt>
                <c:pt idx="2">
                  <c:v>0.25</c:v>
                </c:pt>
                <c:pt idx="3">
                  <c:v>0.20114942528735638</c:v>
                </c:pt>
                <c:pt idx="4">
                  <c:v>0.19252873563218389</c:v>
                </c:pt>
                <c:pt idx="5">
                  <c:v>0.16954022988505746</c:v>
                </c:pt>
                <c:pt idx="6">
                  <c:v>5.4597701149425339E-2</c:v>
                </c:pt>
                <c:pt idx="7">
                  <c:v>1.1494252873563218E-2</c:v>
                </c:pt>
              </c:numCache>
            </c:numRef>
          </c:val>
          <c:extLst xmlns:c16r2="http://schemas.microsoft.com/office/drawing/2015/06/chart">
            <c:ext xmlns:c16="http://schemas.microsoft.com/office/drawing/2014/chart" uri="{C3380CC4-5D6E-409C-BE32-E72D297353CC}">
              <c16:uniqueId val="{00000001-6260-41C6-84F5-31864204869F}"/>
            </c:ext>
          </c:extLst>
        </c:ser>
        <c:dLbls>
          <c:showVal val="1"/>
        </c:dLbls>
        <c:gapWidth val="219"/>
        <c:overlap val="-27"/>
        <c:axId val="166832768"/>
        <c:axId val="167145856"/>
      </c:barChart>
      <c:catAx>
        <c:axId val="166832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67145856"/>
        <c:crosses val="autoZero"/>
        <c:auto val="1"/>
        <c:lblAlgn val="ctr"/>
        <c:lblOffset val="100"/>
      </c:catAx>
      <c:valAx>
        <c:axId val="167145856"/>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668327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cat>
            <c:strRef>
              <c:f>Hoja2!$B$19:$B$21</c:f>
              <c:strCache>
                <c:ptCount val="3"/>
                <c:pt idx="0">
                  <c:v>Bajo</c:v>
                </c:pt>
                <c:pt idx="1">
                  <c:v>Medio</c:v>
                </c:pt>
                <c:pt idx="2">
                  <c:v>Alto</c:v>
                </c:pt>
              </c:strCache>
            </c:strRef>
          </c:cat>
          <c:val>
            <c:numRef>
              <c:f>Hoja2!$C$19:$C$21</c:f>
            </c:numRef>
          </c:val>
          <c:extLst xmlns:c16r2="http://schemas.microsoft.com/office/drawing/2015/06/chart">
            <c:ext xmlns:c16="http://schemas.microsoft.com/office/drawing/2014/chart" uri="{C3380CC4-5D6E-409C-BE32-E72D297353CC}">
              <c16:uniqueId val="{00000000-C6FF-4A71-B8DD-C1E340331ABE}"/>
            </c:ext>
          </c:extLst>
        </c:ser>
        <c:ser>
          <c:idx val="1"/>
          <c:order val="1"/>
          <c:spPr>
            <a:solidFill>
              <a:schemeClr val="accent2"/>
            </a:solidFill>
            <a:ln>
              <a:noFill/>
            </a:ln>
            <a:effectLst/>
          </c:spPr>
          <c:cat>
            <c:strRef>
              <c:f>Hoja2!$B$19:$B$21</c:f>
              <c:strCache>
                <c:ptCount val="3"/>
                <c:pt idx="0">
                  <c:v>Bajo</c:v>
                </c:pt>
                <c:pt idx="1">
                  <c:v>Medio</c:v>
                </c:pt>
                <c:pt idx="2">
                  <c:v>Alto</c:v>
                </c:pt>
              </c:strCache>
            </c:strRef>
          </c:cat>
          <c:val>
            <c:numRef>
              <c:f>Hoja2!$D$19:$D$21</c:f>
              <c:numCache>
                <c:formatCode>###0.0%</c:formatCode>
                <c:ptCount val="3"/>
                <c:pt idx="0">
                  <c:v>0.24137931034482762</c:v>
                </c:pt>
                <c:pt idx="1">
                  <c:v>0.57758620689655149</c:v>
                </c:pt>
                <c:pt idx="2">
                  <c:v>0.18103448275862077</c:v>
                </c:pt>
              </c:numCache>
            </c:numRef>
          </c:val>
          <c:extLst xmlns:c16r2="http://schemas.microsoft.com/office/drawing/2015/06/chart">
            <c:ext xmlns:c16="http://schemas.microsoft.com/office/drawing/2014/chart" uri="{C3380CC4-5D6E-409C-BE32-E72D297353CC}">
              <c16:uniqueId val="{00000001-C6FF-4A71-B8DD-C1E340331ABE}"/>
            </c:ext>
          </c:extLst>
        </c:ser>
        <c:gapWidth val="219"/>
        <c:overlap val="-27"/>
        <c:axId val="125851136"/>
        <c:axId val="125852672"/>
      </c:barChart>
      <c:catAx>
        <c:axId val="125851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5852672"/>
        <c:crosses val="autoZero"/>
        <c:auto val="1"/>
        <c:lblAlgn val="ctr"/>
        <c:lblOffset val="100"/>
      </c:catAx>
      <c:valAx>
        <c:axId val="12585267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58511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cat>
            <c:strRef>
              <c:f>Hoja2!$A$25:$A$31</c:f>
              <c:strCache>
                <c:ptCount val="5"/>
                <c:pt idx="0">
                  <c:v>Características del dengue</c:v>
                </c:pt>
                <c:pt idx="4">
                  <c:v>Condiciones del riesgo del dengue</c:v>
                </c:pt>
              </c:strCache>
              <c:extLst xmlns:c16r2="http://schemas.microsoft.com/office/drawing/2015/06/chart"/>
            </c:strRef>
          </c:cat>
          <c:val>
            <c:numRef>
              <c:f>Hoja2!$C$25:$C$31</c:f>
            </c:numRef>
          </c:val>
          <c:extLst xmlns:c16r2="http://schemas.microsoft.com/office/drawing/2015/06/chart">
            <c:ext xmlns:c16="http://schemas.microsoft.com/office/drawing/2014/chart" uri="{C3380CC4-5D6E-409C-BE32-E72D297353CC}">
              <c16:uniqueId val="{00000000-B351-42D4-ABA0-B535625333C3}"/>
            </c:ext>
          </c:extLst>
        </c:ser>
        <c:ser>
          <c:idx val="1"/>
          <c:order val="1"/>
          <c:spPr>
            <a:solidFill>
              <a:schemeClr val="accent2"/>
            </a:solidFill>
            <a:ln>
              <a:noFill/>
            </a:ln>
            <a:effectLst/>
          </c:spPr>
          <c:cat>
            <c:strRef>
              <c:f>Hoja2!$A$25:$A$31</c:f>
              <c:strCache>
                <c:ptCount val="5"/>
                <c:pt idx="0">
                  <c:v>Características del dengue</c:v>
                </c:pt>
                <c:pt idx="4">
                  <c:v>Condiciones del riesgo del dengue</c:v>
                </c:pt>
              </c:strCache>
              <c:extLst xmlns:c16r2="http://schemas.microsoft.com/office/drawing/2015/06/chart"/>
            </c:strRef>
          </c:cat>
          <c:val>
            <c:numRef>
              <c:f>Hoja2!$D$25:$D$31</c:f>
              <c:numCache>
                <c:formatCode>###0.0%</c:formatCode>
                <c:ptCount val="7"/>
                <c:pt idx="0">
                  <c:v>0.27011494252873564</c:v>
                </c:pt>
                <c:pt idx="1">
                  <c:v>0.59195402298850575</c:v>
                </c:pt>
                <c:pt idx="2">
                  <c:v>0.13793103448275873</c:v>
                </c:pt>
                <c:pt idx="3">
                  <c:v>1</c:v>
                </c:pt>
                <c:pt idx="4">
                  <c:v>2.8735632183908054E-3</c:v>
                </c:pt>
                <c:pt idx="5">
                  <c:v>0.81034482758620685</c:v>
                </c:pt>
                <c:pt idx="6">
                  <c:v>0.18678160919540238</c:v>
                </c:pt>
              </c:numCache>
            </c:numRef>
          </c:val>
          <c:extLst xmlns:c16r2="http://schemas.microsoft.com/office/drawing/2015/06/chart">
            <c:ext xmlns:c16="http://schemas.microsoft.com/office/drawing/2014/chart" uri="{C3380CC4-5D6E-409C-BE32-E72D297353CC}">
              <c16:uniqueId val="{00000001-B351-42D4-ABA0-B535625333C3}"/>
            </c:ext>
          </c:extLst>
        </c:ser>
        <c:gapWidth val="219"/>
        <c:overlap val="-27"/>
        <c:axId val="165609856"/>
        <c:axId val="165611392"/>
      </c:barChart>
      <c:catAx>
        <c:axId val="1656098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611392"/>
        <c:crosses val="autoZero"/>
        <c:auto val="1"/>
        <c:lblAlgn val="ctr"/>
        <c:lblOffset val="100"/>
      </c:catAx>
      <c:valAx>
        <c:axId val="16561139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6098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cat>
            <c:strRef>
              <c:f>Hoja2!$B$36:$B$38</c:f>
              <c:strCache>
                <c:ptCount val="3"/>
                <c:pt idx="0">
                  <c:v>Bajo</c:v>
                </c:pt>
                <c:pt idx="1">
                  <c:v>Medio</c:v>
                </c:pt>
                <c:pt idx="2">
                  <c:v>Alto</c:v>
                </c:pt>
              </c:strCache>
            </c:strRef>
          </c:cat>
          <c:val>
            <c:numRef>
              <c:f>Hoja2!$C$36:$C$38</c:f>
            </c:numRef>
          </c:val>
          <c:extLst xmlns:c16r2="http://schemas.microsoft.com/office/drawing/2015/06/chart">
            <c:ext xmlns:c16="http://schemas.microsoft.com/office/drawing/2014/chart" uri="{C3380CC4-5D6E-409C-BE32-E72D297353CC}">
              <c16:uniqueId val="{00000000-926D-409A-A16B-11A5F41B79E9}"/>
            </c:ext>
          </c:extLst>
        </c:ser>
        <c:ser>
          <c:idx val="1"/>
          <c:order val="1"/>
          <c:spPr>
            <a:solidFill>
              <a:schemeClr val="accent2"/>
            </a:solidFill>
            <a:ln>
              <a:noFill/>
            </a:ln>
            <a:effectLst/>
          </c:spPr>
          <c:cat>
            <c:strRef>
              <c:f>Hoja2!$B$36:$B$38</c:f>
              <c:strCache>
                <c:ptCount val="3"/>
                <c:pt idx="0">
                  <c:v>Bajo</c:v>
                </c:pt>
                <c:pt idx="1">
                  <c:v>Medio</c:v>
                </c:pt>
                <c:pt idx="2">
                  <c:v>Alto</c:v>
                </c:pt>
              </c:strCache>
            </c:strRef>
          </c:cat>
          <c:val>
            <c:numRef>
              <c:f>Hoja2!$D$36:$D$38</c:f>
              <c:numCache>
                <c:formatCode>###0.0%</c:formatCode>
                <c:ptCount val="3"/>
                <c:pt idx="0">
                  <c:v>0.46839080459770127</c:v>
                </c:pt>
                <c:pt idx="1">
                  <c:v>0.30747126436781635</c:v>
                </c:pt>
                <c:pt idx="2">
                  <c:v>0.22413793103448276</c:v>
                </c:pt>
              </c:numCache>
            </c:numRef>
          </c:val>
          <c:extLst xmlns:c16r2="http://schemas.microsoft.com/office/drawing/2015/06/chart">
            <c:ext xmlns:c16="http://schemas.microsoft.com/office/drawing/2014/chart" uri="{C3380CC4-5D6E-409C-BE32-E72D297353CC}">
              <c16:uniqueId val="{00000001-926D-409A-A16B-11A5F41B79E9}"/>
            </c:ext>
          </c:extLst>
        </c:ser>
        <c:gapWidth val="219"/>
        <c:overlap val="-27"/>
        <c:axId val="165653504"/>
        <c:axId val="165659392"/>
      </c:barChart>
      <c:catAx>
        <c:axId val="1656535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659392"/>
        <c:crosses val="autoZero"/>
        <c:auto val="1"/>
        <c:lblAlgn val="ctr"/>
        <c:lblOffset val="100"/>
      </c:catAx>
      <c:valAx>
        <c:axId val="16565939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653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3D29-8D58-4C62-9EA8-D4E18E9E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3720</Words>
  <Characters>20466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JANO</cp:lastModifiedBy>
  <cp:revision>5</cp:revision>
  <cp:lastPrinted>2026-01-23T02:03:00Z</cp:lastPrinted>
  <dcterms:created xsi:type="dcterms:W3CDTF">2026-01-23T02:02:00Z</dcterms:created>
  <dcterms:modified xsi:type="dcterms:W3CDTF">2026-02-03T20:59:00Z</dcterms:modified>
</cp:coreProperties>
</file>