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9BF" w:rsidRDefault="0066183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Terminación Anticipada durante la Etapa Intermedia</w:t>
      </w:r>
    </w:p>
    <w:p w:rsidR="009609BF" w:rsidRDefault="0066183D">
      <w:pPr>
        <w:spacing w:after="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-Cuando todo se permite en nombre de la celeridad o economía procesal-</w:t>
      </w:r>
    </w:p>
    <w:p w:rsidR="009609BF" w:rsidRDefault="0066183D">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609BF" w:rsidRDefault="009609BF">
      <w:pPr>
        <w:spacing w:after="0" w:line="276" w:lineRule="auto"/>
        <w:jc w:val="right"/>
        <w:rPr>
          <w:rFonts w:ascii="Times New Roman" w:eastAsia="Times New Roman" w:hAnsi="Times New Roman" w:cs="Times New Roman"/>
          <w:b/>
          <w:sz w:val="28"/>
          <w:szCs w:val="28"/>
        </w:rPr>
      </w:pPr>
    </w:p>
    <w:p w:rsidR="009609BF" w:rsidRDefault="0066183D">
      <w:pPr>
        <w:spacing w:after="0" w:line="276"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8"/>
          <w:szCs w:val="28"/>
        </w:rPr>
        <w:t>Autora:</w:t>
      </w:r>
      <w:r>
        <w:rPr>
          <w:rFonts w:ascii="Times New Roman" w:eastAsia="Times New Roman" w:hAnsi="Times New Roman" w:cs="Times New Roman"/>
          <w:sz w:val="28"/>
          <w:szCs w:val="28"/>
        </w:rPr>
        <w:t xml:space="preserve"> </w:t>
      </w:r>
      <w:bookmarkStart w:id="0" w:name="_GoBack"/>
      <w:r>
        <w:rPr>
          <w:rFonts w:ascii="Times New Roman" w:eastAsia="Times New Roman" w:hAnsi="Times New Roman" w:cs="Times New Roman"/>
          <w:sz w:val="28"/>
          <w:szCs w:val="28"/>
        </w:rPr>
        <w:t>Delia Milagros Espinoza Valenzuela</w:t>
      </w:r>
      <w:bookmarkEnd w:id="0"/>
      <w:r>
        <w:rPr>
          <w:rFonts w:ascii="Times New Roman" w:eastAsia="Times New Roman" w:hAnsi="Times New Roman" w:cs="Times New Roman"/>
          <w:sz w:val="28"/>
          <w:szCs w:val="28"/>
          <w:vertAlign w:val="superscript"/>
        </w:rPr>
        <w:footnoteReference w:id="1"/>
      </w:r>
    </w:p>
    <w:p w:rsidR="009609BF" w:rsidRDefault="009609BF">
      <w:pPr>
        <w:spacing w:after="0" w:line="240" w:lineRule="auto"/>
        <w:ind w:left="3261"/>
        <w:jc w:val="both"/>
        <w:rPr>
          <w:rFonts w:ascii="Times New Roman" w:eastAsia="Times New Roman" w:hAnsi="Times New Roman" w:cs="Times New Roman"/>
          <w:b/>
          <w:color w:val="FF0000"/>
          <w:sz w:val="24"/>
          <w:szCs w:val="24"/>
          <w:highlight w:val="yellow"/>
        </w:rPr>
      </w:pPr>
    </w:p>
    <w:p w:rsidR="009609BF" w:rsidRDefault="009609BF">
      <w:pPr>
        <w:spacing w:after="0" w:line="240" w:lineRule="auto"/>
        <w:ind w:left="3261"/>
        <w:jc w:val="both"/>
        <w:rPr>
          <w:rFonts w:ascii="Times New Roman" w:eastAsia="Times New Roman" w:hAnsi="Times New Roman" w:cs="Times New Roman"/>
          <w:b/>
          <w:color w:val="FF0000"/>
          <w:sz w:val="24"/>
          <w:szCs w:val="24"/>
          <w:highlight w:val="yellow"/>
        </w:rPr>
      </w:pPr>
    </w:p>
    <w:p w:rsidR="009609BF" w:rsidRDefault="0066183D">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Resumen.</w:t>
      </w:r>
    </w:p>
    <w:p w:rsidR="009609BF" w:rsidRDefault="009609BF">
      <w:pPr>
        <w:spacing w:after="0" w:line="240" w:lineRule="auto"/>
        <w:jc w:val="both"/>
        <w:rPr>
          <w:rFonts w:ascii="Times New Roman" w:eastAsia="Times New Roman" w:hAnsi="Times New Roman" w:cs="Times New Roman"/>
          <w:color w:val="FF0000"/>
          <w:sz w:val="24"/>
          <w:szCs w:val="24"/>
          <w:highlight w:val="yellow"/>
        </w:rPr>
      </w:pPr>
    </w:p>
    <w:p w:rsidR="009609BF" w:rsidRDefault="0066183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autora analiza la indebida interpretación que sostiene un sector de la doctrina y de la magistratura respecto a la posibilidad de incoar el proceso especial de Terminación Anticipada durante el desarrollo de la Etapa Intermedia del proceso penal común. Previo a adentrarse en el tema objeto del presente artículo se remitirá al Nuevo Código Procesal Penal de 2004, para dar a conocer cómo se encuentra estructurado el proceso penal común, con que actos se inician y concluyen cada una de sus etapas, lo que permitirá identificar con claridad en qué momento precluyen ciertas prerrogativas que la ley otorga a los sujetos procesales, además se señalarán algunas diferencias que existen entre el proceso antes mencionado y los procesos especiales, dentro de los cuales se encuentra el de Terminación Anticipada. </w:t>
      </w:r>
      <w:proofErr w:type="gramStart"/>
      <w:r>
        <w:rPr>
          <w:rFonts w:ascii="Times New Roman" w:eastAsia="Times New Roman" w:hAnsi="Times New Roman" w:cs="Times New Roman"/>
          <w:color w:val="000000"/>
          <w:sz w:val="24"/>
          <w:szCs w:val="24"/>
        </w:rPr>
        <w:t>Asimismo</w:t>
      </w:r>
      <w:proofErr w:type="gramEnd"/>
      <w:r>
        <w:rPr>
          <w:rFonts w:ascii="Times New Roman" w:eastAsia="Times New Roman" w:hAnsi="Times New Roman" w:cs="Times New Roman"/>
          <w:color w:val="000000"/>
          <w:sz w:val="24"/>
          <w:szCs w:val="24"/>
        </w:rPr>
        <w:t xml:space="preserve"> con la ayuda de fuentes normativas y doctrinarias nacionales y extranjeras, la autora precisará algunas ideas con relación a la formulación de la Acusación Fiscal o Requerimiento Acusatorio, haciendo especial énfasis a su trascendencia en el proceso penal. Así también se referirá a la regulación del proceso especial de Terminación Anticipada, tomando como referencia fuentes históricas que respaldan esta expresión de la justicia penal negociada o consensuada en nuestro país. Finalmente planteará un caso práctico, producto de su experiencia profesional, laboral y académica, con la finalidad de ilustrar la situación problemática que ocasiona la incoación de la Terminación Anticipada durante la Etapa Intermedia, a la cual dará solución y además propondrá una reforma legislativa acorde con el espíritu del Nuevo Código Procesal Penal que disipe cualquier tipo de interpretación equivocada.  </w:t>
      </w:r>
    </w:p>
    <w:p w:rsidR="009609BF" w:rsidRDefault="009609BF">
      <w:pPr>
        <w:spacing w:after="0" w:line="240" w:lineRule="auto"/>
        <w:jc w:val="both"/>
        <w:rPr>
          <w:rFonts w:ascii="Times New Roman" w:eastAsia="Times New Roman" w:hAnsi="Times New Roman" w:cs="Times New Roman"/>
          <w:color w:val="FF0000"/>
          <w:sz w:val="24"/>
          <w:szCs w:val="24"/>
          <w:highlight w:val="yellow"/>
        </w:rPr>
      </w:pPr>
    </w:p>
    <w:p w:rsidR="009609BF" w:rsidRDefault="009609BF">
      <w:pPr>
        <w:spacing w:after="0" w:line="240" w:lineRule="auto"/>
        <w:jc w:val="both"/>
        <w:rPr>
          <w:rFonts w:ascii="Times New Roman" w:eastAsia="Times New Roman" w:hAnsi="Times New Roman" w:cs="Times New Roman"/>
          <w:color w:val="FF0000"/>
          <w:sz w:val="24"/>
          <w:szCs w:val="24"/>
          <w:highlight w:val="yellow"/>
        </w:rPr>
      </w:pPr>
    </w:p>
    <w:p w:rsidR="009609BF" w:rsidRDefault="0066183D">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Abstrac.</w:t>
      </w:r>
    </w:p>
    <w:p w:rsidR="009609BF" w:rsidRDefault="009609BF">
      <w:pPr>
        <w:spacing w:after="0" w:line="240" w:lineRule="auto"/>
        <w:jc w:val="both"/>
        <w:rPr>
          <w:rFonts w:ascii="Times New Roman" w:eastAsia="Times New Roman" w:hAnsi="Times New Roman" w:cs="Times New Roman"/>
          <w:color w:val="FF0000"/>
          <w:sz w:val="24"/>
          <w:szCs w:val="24"/>
          <w:highlight w:val="yellow"/>
        </w:rPr>
      </w:pPr>
    </w:p>
    <w:p w:rsidR="009609BF" w:rsidRDefault="0066183D">
      <w:pPr>
        <w:shd w:val="clear" w:color="auto" w:fill="FFFFFF"/>
        <w:spacing w:after="0" w:line="276"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author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analyzes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improper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interpretation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held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a sector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doctrine and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judiciary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regarding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possibility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initiating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Termination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Intermediate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common</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process</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Before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going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subject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article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reference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be </w:t>
      </w:r>
      <w:proofErr w:type="spellStart"/>
      <w:r>
        <w:rPr>
          <w:rFonts w:ascii="Times New Roman" w:eastAsia="Times New Roman" w:hAnsi="Times New Roman" w:cs="Times New Roman"/>
          <w:color w:val="000000"/>
          <w:sz w:val="24"/>
          <w:szCs w:val="24"/>
        </w:rPr>
        <w:t>made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New </w:t>
      </w:r>
      <w:proofErr w:type="spellStart"/>
      <w:r>
        <w:rPr>
          <w:rFonts w:ascii="Times New Roman" w:eastAsia="Times New Roman" w:hAnsi="Times New Roman" w:cs="Times New Roman"/>
          <w:color w:val="000000"/>
          <w:sz w:val="24"/>
          <w:szCs w:val="24"/>
        </w:rPr>
        <w:t>Code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Procedure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2004, in </w:t>
      </w:r>
      <w:proofErr w:type="spellStart"/>
      <w:r>
        <w:rPr>
          <w:rFonts w:ascii="Times New Roman" w:eastAsia="Times New Roman" w:hAnsi="Times New Roman" w:cs="Times New Roman"/>
          <w:color w:val="000000"/>
          <w:sz w:val="24"/>
          <w:szCs w:val="24"/>
        </w:rPr>
        <w:t>order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explain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common</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procedure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structured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acts</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initiated</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completed</w:t>
      </w:r>
      <w:proofErr w:type="spellEnd"/>
      <w:r>
        <w:rPr>
          <w:rFonts w:ascii="Times New Roman" w:eastAsia="Times New Roman" w:hAnsi="Times New Roman" w:cs="Times New Roman"/>
          <w:color w:val="000000"/>
          <w:sz w:val="24"/>
          <w:szCs w:val="24"/>
        </w:rPr>
        <w:t xml:space="preserve"> at </w:t>
      </w:r>
      <w:proofErr w:type="spellStart"/>
      <w:r>
        <w:rPr>
          <w:rFonts w:ascii="Times New Roman" w:eastAsia="Times New Roman" w:hAnsi="Times New Roman" w:cs="Times New Roman"/>
          <w:color w:val="000000"/>
          <w:sz w:val="24"/>
          <w:szCs w:val="24"/>
        </w:rPr>
        <w:t>each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possible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clearly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identify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prerogatives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grants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parties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proceedings</w:t>
      </w:r>
      <w:proofErr w:type="spellEnd"/>
      <w:r>
        <w:rPr>
          <w:rFonts w:ascii="Times New Roman" w:eastAsia="Times New Roman" w:hAnsi="Times New Roman" w:cs="Times New Roman"/>
          <w:color w:val="000000"/>
          <w:sz w:val="24"/>
          <w:szCs w:val="24"/>
        </w:rPr>
        <w:t xml:space="preserve"> are </w:t>
      </w:r>
      <w:proofErr w:type="spellStart"/>
      <w:r>
        <w:rPr>
          <w:rFonts w:ascii="Times New Roman" w:eastAsia="Times New Roman" w:hAnsi="Times New Roman" w:cs="Times New Roman"/>
          <w:color w:val="000000"/>
          <w:sz w:val="24"/>
          <w:szCs w:val="24"/>
        </w:rPr>
        <w:t>pre-empted</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addition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certain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differences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exist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between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above-mentioned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process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proceedings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be </w:t>
      </w:r>
      <w:proofErr w:type="spellStart"/>
      <w:r>
        <w:rPr>
          <w:rFonts w:ascii="Times New Roman" w:eastAsia="Times New Roman" w:hAnsi="Times New Roman" w:cs="Times New Roman"/>
          <w:color w:val="000000"/>
          <w:sz w:val="24"/>
          <w:szCs w:val="24"/>
        </w:rPr>
        <w:t>pointed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Termination</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Also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help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national</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foreign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normative</w:t>
      </w:r>
      <w:proofErr w:type="spellEnd"/>
      <w:r>
        <w:rPr>
          <w:rFonts w:ascii="Times New Roman" w:eastAsia="Times New Roman" w:hAnsi="Times New Roman" w:cs="Times New Roman"/>
          <w:color w:val="000000"/>
          <w:sz w:val="24"/>
          <w:szCs w:val="24"/>
        </w:rPr>
        <w:t xml:space="preserve"> and doctrinal </w:t>
      </w:r>
      <w:proofErr w:type="spellStart"/>
      <w:r>
        <w:rPr>
          <w:rFonts w:ascii="Times New Roman" w:eastAsia="Times New Roman" w:hAnsi="Times New Roman" w:cs="Times New Roman"/>
          <w:color w:val="000000"/>
          <w:sz w:val="24"/>
          <w:szCs w:val="24"/>
        </w:rPr>
        <w:t>sources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author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elaborate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some</w:t>
      </w:r>
      <w:proofErr w:type="spellEnd"/>
      <w:r>
        <w:rPr>
          <w:rFonts w:ascii="Times New Roman" w:eastAsia="Times New Roman" w:hAnsi="Times New Roman" w:cs="Times New Roman"/>
          <w:color w:val="000000"/>
          <w:sz w:val="24"/>
          <w:szCs w:val="24"/>
        </w:rPr>
        <w:t xml:space="preserve"> ideas </w:t>
      </w:r>
      <w:proofErr w:type="spellStart"/>
      <w:r>
        <w:rPr>
          <w:rFonts w:ascii="Times New Roman" w:eastAsia="Times New Roman" w:hAnsi="Times New Roman" w:cs="Times New Roman"/>
          <w:color w:val="000000"/>
          <w:sz w:val="24"/>
          <w:szCs w:val="24"/>
        </w:rPr>
        <w:t>regarding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formulation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Fiscal </w:t>
      </w:r>
      <w:proofErr w:type="spellStart"/>
      <w:r>
        <w:rPr>
          <w:rFonts w:ascii="Times New Roman" w:eastAsia="Times New Roman" w:hAnsi="Times New Roman" w:cs="Times New Roman"/>
          <w:color w:val="000000"/>
          <w:sz w:val="24"/>
          <w:szCs w:val="24"/>
        </w:rPr>
        <w:t>Accusation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Accusation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Injunction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emphasizing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importance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process</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refer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regulation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Termination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taking</w:t>
      </w:r>
      <w:proofErr w:type="spellEnd"/>
      <w:r>
        <w:rPr>
          <w:rFonts w:ascii="Times New Roman" w:eastAsia="Times New Roman" w:hAnsi="Times New Roman" w:cs="Times New Roman"/>
          <w:color w:val="000000"/>
          <w:sz w:val="24"/>
          <w:szCs w:val="24"/>
        </w:rPr>
        <w:t xml:space="preserve"> as </w:t>
      </w:r>
      <w:proofErr w:type="spellStart"/>
      <w:r>
        <w:rPr>
          <w:rFonts w:ascii="Times New Roman" w:eastAsia="Times New Roman" w:hAnsi="Times New Roman" w:cs="Times New Roman"/>
          <w:color w:val="000000"/>
          <w:sz w:val="24"/>
          <w:szCs w:val="24"/>
        </w:rPr>
        <w:t>reference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historical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sources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support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expression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negotiated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proofErr w:type="spellEnd"/>
      <w:r>
        <w:rPr>
          <w:rFonts w:ascii="Times New Roman" w:eastAsia="Times New Roman" w:hAnsi="Times New Roman" w:cs="Times New Roman"/>
          <w:color w:val="000000"/>
          <w:sz w:val="24"/>
          <w:szCs w:val="24"/>
        </w:rPr>
        <w:t xml:space="preserve"> consensual criminal </w:t>
      </w:r>
      <w:proofErr w:type="spellStart"/>
      <w:r>
        <w:rPr>
          <w:rFonts w:ascii="Times New Roman" w:eastAsia="Times New Roman" w:hAnsi="Times New Roman" w:cs="Times New Roman"/>
          <w:color w:val="000000"/>
          <w:sz w:val="24"/>
          <w:szCs w:val="24"/>
        </w:rPr>
        <w:t>justice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our</w:t>
      </w:r>
      <w:proofErr w:type="spellEnd"/>
      <w:r>
        <w:rPr>
          <w:rFonts w:ascii="Times New Roman" w:eastAsia="Times New Roman" w:hAnsi="Times New Roman" w:cs="Times New Roman"/>
          <w:color w:val="000000"/>
          <w:sz w:val="24"/>
          <w:szCs w:val="24"/>
        </w:rPr>
        <w:t xml:space="preserve"> country. </w:t>
      </w:r>
      <w:proofErr w:type="spellStart"/>
      <w:r>
        <w:rPr>
          <w:rFonts w:ascii="Times New Roman" w:eastAsia="Times New Roman" w:hAnsi="Times New Roman" w:cs="Times New Roman"/>
          <w:color w:val="000000"/>
          <w:sz w:val="24"/>
          <w:szCs w:val="24"/>
        </w:rPr>
        <w:t>Finally</w:t>
      </w:r>
      <w:proofErr w:type="spellEnd"/>
      <w:r>
        <w:rPr>
          <w:rFonts w:ascii="Times New Roman" w:eastAsia="Times New Roman" w:hAnsi="Times New Roman" w:cs="Times New Roman"/>
          <w:color w:val="000000"/>
          <w:sz w:val="24"/>
          <w:szCs w:val="24"/>
        </w:rPr>
        <w:t xml:space="preserve">, he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present</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practical</w:t>
      </w:r>
      <w:proofErr w:type="spellEnd"/>
      <w:r>
        <w:rPr>
          <w:rFonts w:ascii="Times New Roman" w:eastAsia="Times New Roman" w:hAnsi="Times New Roman" w:cs="Times New Roman"/>
          <w:color w:val="000000"/>
          <w:sz w:val="24"/>
          <w:szCs w:val="24"/>
        </w:rPr>
        <w:t xml:space="preserve"> case, </w:t>
      </w:r>
      <w:proofErr w:type="spellStart"/>
      <w:r>
        <w:rPr>
          <w:rFonts w:ascii="Times New Roman" w:eastAsia="Times New Roman" w:hAnsi="Times New Roman" w:cs="Times New Roman"/>
          <w:color w:val="000000"/>
          <w:sz w:val="24"/>
          <w:szCs w:val="24"/>
        </w:rPr>
        <w:t>product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professional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work</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academic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experience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order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illustrate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problematic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situation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causes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initiation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Termination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Intermediate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Stage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which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provide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solution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also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propose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legislative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reform</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accordance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with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spirit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New </w:t>
      </w:r>
      <w:proofErr w:type="spellStart"/>
      <w:r>
        <w:rPr>
          <w:rFonts w:ascii="Times New Roman" w:eastAsia="Times New Roman" w:hAnsi="Times New Roman" w:cs="Times New Roman"/>
          <w:color w:val="000000"/>
          <w:sz w:val="24"/>
          <w:szCs w:val="24"/>
        </w:rPr>
        <w:t>Code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Procedure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dispel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misinterpretation</w:t>
      </w:r>
      <w:proofErr w:type="spellEnd"/>
      <w:r>
        <w:rPr>
          <w:rFonts w:ascii="Times New Roman" w:eastAsia="Times New Roman" w:hAnsi="Times New Roman" w:cs="Times New Roman"/>
          <w:color w:val="000000"/>
          <w:sz w:val="24"/>
          <w:szCs w:val="24"/>
        </w:rPr>
        <w:t>.</w:t>
      </w:r>
    </w:p>
    <w:p w:rsidR="009609BF" w:rsidRDefault="009609BF">
      <w:pPr>
        <w:spacing w:after="0" w:line="276" w:lineRule="auto"/>
        <w:jc w:val="center"/>
        <w:rPr>
          <w:rFonts w:ascii="Times New Roman" w:eastAsia="Times New Roman" w:hAnsi="Times New Roman" w:cs="Times New Roman"/>
          <w:b/>
          <w:color w:val="000000"/>
          <w:sz w:val="24"/>
          <w:szCs w:val="24"/>
        </w:rPr>
      </w:pPr>
    </w:p>
    <w:p w:rsidR="009609BF" w:rsidRDefault="009609BF">
      <w:pPr>
        <w:spacing w:after="0" w:line="276" w:lineRule="auto"/>
        <w:jc w:val="center"/>
        <w:rPr>
          <w:rFonts w:ascii="Times New Roman" w:eastAsia="Times New Roman" w:hAnsi="Times New Roman" w:cs="Times New Roman"/>
          <w:b/>
          <w:color w:val="000000"/>
          <w:sz w:val="24"/>
          <w:szCs w:val="24"/>
        </w:rPr>
      </w:pPr>
    </w:p>
    <w:p w:rsidR="009609BF" w:rsidRDefault="0066183D">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Palabras claves.</w:t>
      </w:r>
    </w:p>
    <w:p w:rsidR="009609BF" w:rsidRDefault="009609BF">
      <w:pPr>
        <w:spacing w:after="0" w:line="276" w:lineRule="auto"/>
        <w:jc w:val="center"/>
        <w:rPr>
          <w:rFonts w:ascii="Times New Roman" w:eastAsia="Times New Roman" w:hAnsi="Times New Roman" w:cs="Times New Roman"/>
          <w:b/>
          <w:color w:val="000000"/>
          <w:sz w:val="24"/>
          <w:szCs w:val="24"/>
        </w:rPr>
      </w:pPr>
    </w:p>
    <w:p w:rsidR="009609BF" w:rsidRDefault="0066183D">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Nuevo Código Procesal Penal de 2004, proceso penal común, procesos especiales, proceso especial de Terminación Anticipada,  Acusación Fiscal, Requerimiento Acusatorio, Código Procesal Penal Modelo para Iberoamérica de 1989, Ley N.º 26320, Ley N.º 28008, Acuerdo Plenario N.º 5-2009/CJ-116, Pleno Jurisdiccional Distrital en materia penal – Corte Superior de Justicia de Ancash 2018, justicia penal consensuada, justicia penal negociada, Principio de Legalidad, Principio Acusatorio, Principio de Contradicción, preclusión procesal, sobrecarga laboral. </w:t>
      </w:r>
    </w:p>
    <w:p w:rsidR="009609BF" w:rsidRDefault="009609BF">
      <w:pPr>
        <w:spacing w:after="0" w:line="240" w:lineRule="auto"/>
        <w:jc w:val="both"/>
        <w:rPr>
          <w:rFonts w:ascii="Times New Roman" w:eastAsia="Times New Roman" w:hAnsi="Times New Roman" w:cs="Times New Roman"/>
          <w:color w:val="FF0000"/>
          <w:sz w:val="24"/>
          <w:szCs w:val="24"/>
          <w:highlight w:val="yellow"/>
        </w:rPr>
      </w:pPr>
    </w:p>
    <w:p w:rsidR="009609BF" w:rsidRDefault="009609BF">
      <w:pPr>
        <w:spacing w:after="0" w:line="240" w:lineRule="auto"/>
        <w:jc w:val="both"/>
        <w:rPr>
          <w:rFonts w:ascii="Times New Roman" w:eastAsia="Times New Roman" w:hAnsi="Times New Roman" w:cs="Times New Roman"/>
          <w:color w:val="FF0000"/>
          <w:sz w:val="24"/>
          <w:szCs w:val="24"/>
          <w:highlight w:val="yellow"/>
        </w:rPr>
      </w:pPr>
    </w:p>
    <w:p w:rsidR="009609BF" w:rsidRDefault="0066183D">
      <w:pPr>
        <w:spacing w:after="0" w:line="276"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Keywords</w:t>
      </w:r>
      <w:proofErr w:type="spellEnd"/>
      <w:r>
        <w:rPr>
          <w:rFonts w:ascii="Times New Roman" w:eastAsia="Times New Roman" w:hAnsi="Times New Roman" w:cs="Times New Roman"/>
          <w:b/>
          <w:color w:val="000000"/>
          <w:sz w:val="28"/>
          <w:szCs w:val="28"/>
        </w:rPr>
        <w:t>.</w:t>
      </w:r>
    </w:p>
    <w:p w:rsidR="009609BF" w:rsidRDefault="009609BF">
      <w:pPr>
        <w:spacing w:after="0" w:line="240" w:lineRule="auto"/>
        <w:jc w:val="both"/>
        <w:rPr>
          <w:rFonts w:ascii="Times New Roman" w:eastAsia="Times New Roman" w:hAnsi="Times New Roman" w:cs="Times New Roman"/>
          <w:color w:val="FF0000"/>
          <w:sz w:val="24"/>
          <w:szCs w:val="24"/>
          <w:highlight w:val="yellow"/>
        </w:rPr>
      </w:pPr>
    </w:p>
    <w:p w:rsidR="009609BF" w:rsidRDefault="0066183D">
      <w:pP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 </w:t>
      </w:r>
      <w:proofErr w:type="spellStart"/>
      <w:r>
        <w:rPr>
          <w:rFonts w:ascii="Times New Roman" w:eastAsia="Times New Roman" w:hAnsi="Times New Roman" w:cs="Times New Roman"/>
          <w:color w:val="000000"/>
          <w:sz w:val="24"/>
          <w:szCs w:val="24"/>
        </w:rPr>
        <w:t>Code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Procedure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2004, </w:t>
      </w:r>
      <w:proofErr w:type="spellStart"/>
      <w:r>
        <w:rPr>
          <w:rFonts w:ascii="Times New Roman" w:eastAsia="Times New Roman" w:hAnsi="Times New Roman" w:cs="Times New Roman"/>
          <w:color w:val="000000"/>
          <w:sz w:val="24"/>
          <w:szCs w:val="24"/>
        </w:rPr>
        <w:t>common</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procedure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proceedings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special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Early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Termination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Procedure</w:t>
      </w:r>
      <w:proofErr w:type="spellEnd"/>
      <w:r>
        <w:rPr>
          <w:rFonts w:ascii="Times New Roman" w:eastAsia="Times New Roman" w:hAnsi="Times New Roman" w:cs="Times New Roman"/>
          <w:color w:val="000000"/>
          <w:sz w:val="24"/>
          <w:szCs w:val="24"/>
        </w:rPr>
        <w:t xml:space="preserve">, Fiscal </w:t>
      </w:r>
      <w:proofErr w:type="spellStart"/>
      <w:r>
        <w:rPr>
          <w:rFonts w:ascii="Times New Roman" w:eastAsia="Times New Roman" w:hAnsi="Times New Roman" w:cs="Times New Roman"/>
          <w:color w:val="000000"/>
          <w:sz w:val="24"/>
          <w:szCs w:val="24"/>
        </w:rPr>
        <w:t>Accusation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Accusatory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Injunction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Model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Procedure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for</w:t>
      </w:r>
      <w:proofErr w:type="spellEnd"/>
      <w:r>
        <w:rPr>
          <w:rFonts w:ascii="Times New Roman" w:eastAsia="Times New Roman" w:hAnsi="Times New Roman" w:cs="Times New Roman"/>
          <w:color w:val="000000"/>
          <w:sz w:val="24"/>
          <w:szCs w:val="24"/>
        </w:rPr>
        <w:t xml:space="preserve"> Ibero-</w:t>
      </w:r>
      <w:proofErr w:type="spellStart"/>
      <w:r>
        <w:rPr>
          <w:rFonts w:ascii="Times New Roman" w:eastAsia="Times New Roman" w:hAnsi="Times New Roman" w:cs="Times New Roman"/>
          <w:color w:val="000000"/>
          <w:sz w:val="24"/>
          <w:szCs w:val="24"/>
        </w:rPr>
        <w:t>America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1989, </w:t>
      </w:r>
      <w:proofErr w:type="spellStart"/>
      <w:r>
        <w:rPr>
          <w:rFonts w:ascii="Times New Roman" w:eastAsia="Times New Roman" w:hAnsi="Times New Roman" w:cs="Times New Roman"/>
          <w:color w:val="000000"/>
          <w:sz w:val="24"/>
          <w:szCs w:val="24"/>
        </w:rPr>
        <w:t>Law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Nº</w:t>
      </w:r>
      <w:proofErr w:type="spellEnd"/>
      <w:r>
        <w:rPr>
          <w:rFonts w:ascii="Times New Roman" w:eastAsia="Times New Roman" w:hAnsi="Times New Roman" w:cs="Times New Roman"/>
          <w:color w:val="000000"/>
          <w:sz w:val="24"/>
          <w:szCs w:val="24"/>
        </w:rPr>
        <w:t xml:space="preserve"> 26320, </w:t>
      </w:r>
      <w:proofErr w:type="spellStart"/>
      <w:r>
        <w:rPr>
          <w:rFonts w:ascii="Times New Roman" w:eastAsia="Times New Roman" w:hAnsi="Times New Roman" w:cs="Times New Roman"/>
          <w:color w:val="000000"/>
          <w:sz w:val="24"/>
          <w:szCs w:val="24"/>
        </w:rPr>
        <w:t>Law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Nº</w:t>
      </w:r>
      <w:proofErr w:type="spellEnd"/>
      <w:r>
        <w:rPr>
          <w:rFonts w:ascii="Times New Roman" w:eastAsia="Times New Roman" w:hAnsi="Times New Roman" w:cs="Times New Roman"/>
          <w:color w:val="000000"/>
          <w:sz w:val="24"/>
          <w:szCs w:val="24"/>
        </w:rPr>
        <w:t xml:space="preserve"> 28008, </w:t>
      </w:r>
      <w:proofErr w:type="spellStart"/>
      <w:r>
        <w:rPr>
          <w:rFonts w:ascii="Times New Roman" w:eastAsia="Times New Roman" w:hAnsi="Times New Roman" w:cs="Times New Roman"/>
          <w:color w:val="000000"/>
          <w:sz w:val="24"/>
          <w:szCs w:val="24"/>
        </w:rPr>
        <w:t>Plenary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Agreement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Nº</w:t>
      </w:r>
      <w:proofErr w:type="spellEnd"/>
      <w:r>
        <w:rPr>
          <w:rFonts w:ascii="Times New Roman" w:eastAsia="Times New Roman" w:hAnsi="Times New Roman" w:cs="Times New Roman"/>
          <w:color w:val="000000"/>
          <w:sz w:val="24"/>
          <w:szCs w:val="24"/>
        </w:rPr>
        <w:t xml:space="preserve"> 5-2009/CJ-116, Full </w:t>
      </w:r>
      <w:proofErr w:type="spellStart"/>
      <w:r>
        <w:rPr>
          <w:rFonts w:ascii="Times New Roman" w:eastAsia="Times New Roman" w:hAnsi="Times New Roman" w:cs="Times New Roman"/>
          <w:color w:val="000000"/>
          <w:sz w:val="24"/>
          <w:szCs w:val="24"/>
        </w:rPr>
        <w:t>District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Court</w:t>
      </w:r>
      <w:proofErr w:type="spellEnd"/>
      <w:r>
        <w:rPr>
          <w:rFonts w:ascii="Times New Roman" w:eastAsia="Times New Roman" w:hAnsi="Times New Roman" w:cs="Times New Roman"/>
          <w:color w:val="000000"/>
          <w:sz w:val="24"/>
          <w:szCs w:val="24"/>
        </w:rPr>
        <w:t xml:space="preserve"> in criminal </w:t>
      </w:r>
      <w:proofErr w:type="spellStart"/>
      <w:r>
        <w:rPr>
          <w:rFonts w:ascii="Times New Roman" w:eastAsia="Times New Roman" w:hAnsi="Times New Roman" w:cs="Times New Roman"/>
          <w:color w:val="000000"/>
          <w:sz w:val="24"/>
          <w:szCs w:val="24"/>
        </w:rPr>
        <w:t>matters</w:t>
      </w:r>
      <w:proofErr w:type="spellEnd"/>
      <w:r>
        <w:rPr>
          <w:rFonts w:ascii="Times New Roman" w:eastAsia="Times New Roman" w:hAnsi="Times New Roman" w:cs="Times New Roman"/>
          <w:color w:val="000000"/>
          <w:sz w:val="24"/>
          <w:szCs w:val="24"/>
        </w:rPr>
        <w:t xml:space="preserve"> - Ancash High </w:t>
      </w:r>
      <w:proofErr w:type="spellStart"/>
      <w:r>
        <w:rPr>
          <w:rFonts w:ascii="Times New Roman" w:eastAsia="Times New Roman" w:hAnsi="Times New Roman" w:cs="Times New Roman"/>
          <w:color w:val="000000"/>
          <w:sz w:val="24"/>
          <w:szCs w:val="24"/>
        </w:rPr>
        <w:t>Court</w:t>
      </w:r>
      <w:proofErr w:type="spellEnd"/>
      <w:r>
        <w:rPr>
          <w:rFonts w:ascii="Times New Roman" w:eastAsia="Times New Roman" w:hAnsi="Times New Roman" w:cs="Times New Roman"/>
          <w:color w:val="000000"/>
          <w:sz w:val="24"/>
          <w:szCs w:val="24"/>
        </w:rPr>
        <w:t xml:space="preserve"> 2018, consensual criminal </w:t>
      </w:r>
      <w:proofErr w:type="spellStart"/>
      <w:r>
        <w:rPr>
          <w:rFonts w:ascii="Times New Roman" w:eastAsia="Times New Roman" w:hAnsi="Times New Roman" w:cs="Times New Roman"/>
          <w:color w:val="000000"/>
          <w:sz w:val="24"/>
          <w:szCs w:val="24"/>
        </w:rPr>
        <w:t>justice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negotiated</w:t>
      </w:r>
      <w:proofErr w:type="spellEnd"/>
      <w:r>
        <w:rPr>
          <w:rFonts w:ascii="Times New Roman" w:eastAsia="Times New Roman" w:hAnsi="Times New Roman" w:cs="Times New Roman"/>
          <w:color w:val="000000"/>
          <w:sz w:val="24"/>
          <w:szCs w:val="24"/>
        </w:rPr>
        <w:t xml:space="preserve"> criminal </w:t>
      </w:r>
      <w:proofErr w:type="spellStart"/>
      <w:r>
        <w:rPr>
          <w:rFonts w:ascii="Times New Roman" w:eastAsia="Times New Roman" w:hAnsi="Times New Roman" w:cs="Times New Roman"/>
          <w:color w:val="000000"/>
          <w:sz w:val="24"/>
          <w:szCs w:val="24"/>
        </w:rPr>
        <w:t>justice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Principle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Legality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Accusatory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Principle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Principle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Contradiction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preclusion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procedure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workload</w:t>
      </w:r>
      <w:proofErr w:type="spellEnd"/>
      <w:r>
        <w:rPr>
          <w:rFonts w:ascii="Times New Roman" w:eastAsia="Times New Roman" w:hAnsi="Times New Roman" w:cs="Times New Roman"/>
          <w:color w:val="000000"/>
          <w:sz w:val="24"/>
          <w:szCs w:val="24"/>
        </w:rPr>
        <w:t>.</w:t>
      </w:r>
    </w:p>
    <w:p w:rsidR="009609BF" w:rsidRDefault="009609BF">
      <w:pPr>
        <w:spacing w:after="0" w:line="240" w:lineRule="auto"/>
        <w:ind w:left="3261"/>
        <w:jc w:val="both"/>
        <w:rPr>
          <w:rFonts w:ascii="Times New Roman" w:eastAsia="Times New Roman" w:hAnsi="Times New Roman" w:cs="Times New Roman"/>
          <w:b/>
          <w:color w:val="FF0000"/>
          <w:sz w:val="24"/>
          <w:szCs w:val="24"/>
          <w:highlight w:val="yellow"/>
        </w:rPr>
      </w:pPr>
    </w:p>
    <w:p w:rsidR="0066183D" w:rsidRDefault="0066183D" w:rsidP="0066183D">
      <w:pPr>
        <w:pStyle w:val="SUMARIO"/>
      </w:pPr>
      <w:r>
        <w:t xml:space="preserve">Fecha de recepción de originales: 07 de </w:t>
      </w:r>
      <w:proofErr w:type="gramStart"/>
      <w:r>
        <w:t>Febrero</w:t>
      </w:r>
      <w:proofErr w:type="gramEnd"/>
      <w:r>
        <w:t xml:space="preserve"> de 2020.</w:t>
      </w:r>
    </w:p>
    <w:p w:rsidR="0066183D" w:rsidRDefault="0066183D" w:rsidP="0066183D">
      <w:pPr>
        <w:pStyle w:val="SUMARIO"/>
      </w:pPr>
      <w:r>
        <w:t xml:space="preserve">Fecha de aceptación de originales: 28 de </w:t>
      </w:r>
      <w:proofErr w:type="gramStart"/>
      <w:r>
        <w:t>Febrero</w:t>
      </w:r>
      <w:proofErr w:type="gramEnd"/>
      <w:r>
        <w:t xml:space="preserve"> de 2020.</w:t>
      </w:r>
    </w:p>
    <w:p w:rsidR="009609BF" w:rsidRDefault="009609BF">
      <w:pPr>
        <w:spacing w:after="0" w:line="240" w:lineRule="auto"/>
        <w:ind w:left="3261"/>
        <w:jc w:val="both"/>
        <w:rPr>
          <w:rFonts w:ascii="Times New Roman" w:eastAsia="Times New Roman" w:hAnsi="Times New Roman" w:cs="Times New Roman"/>
          <w:b/>
          <w:color w:val="FF0000"/>
          <w:sz w:val="24"/>
          <w:szCs w:val="24"/>
          <w:highlight w:val="yellow"/>
        </w:rPr>
      </w:pPr>
    </w:p>
    <w:p w:rsidR="009609BF" w:rsidRDefault="0066183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Sumario.</w:t>
      </w:r>
    </w:p>
    <w:p w:rsidR="009609BF" w:rsidRDefault="009609BF">
      <w:pPr>
        <w:spacing w:after="0" w:line="240" w:lineRule="auto"/>
        <w:jc w:val="center"/>
        <w:rPr>
          <w:rFonts w:ascii="Times New Roman" w:eastAsia="Times New Roman" w:hAnsi="Times New Roman" w:cs="Times New Roman"/>
          <w:b/>
          <w:sz w:val="24"/>
          <w:szCs w:val="24"/>
        </w:rPr>
      </w:pPr>
    </w:p>
    <w:p w:rsidR="009609BF" w:rsidRDefault="006618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Introducción.-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El Nuevo Código Procesal Penal de 2004.-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La Etapa Intermedia del Proceso </w:t>
      </w:r>
      <w:proofErr w:type="gramStart"/>
      <w:r>
        <w:rPr>
          <w:rFonts w:ascii="Times New Roman" w:eastAsia="Times New Roman" w:hAnsi="Times New Roman" w:cs="Times New Roman"/>
          <w:sz w:val="24"/>
          <w:szCs w:val="24"/>
        </w:rPr>
        <w:t>Penal.-</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La Acusación Fiscal o Requerimiento </w:t>
      </w:r>
      <w:proofErr w:type="gramStart"/>
      <w:r>
        <w:rPr>
          <w:rFonts w:ascii="Times New Roman" w:eastAsia="Times New Roman" w:hAnsi="Times New Roman" w:cs="Times New Roman"/>
          <w:sz w:val="24"/>
          <w:szCs w:val="24"/>
        </w:rPr>
        <w:t>Acusatorio.-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Proceso Especial de Terminación </w:t>
      </w:r>
      <w:proofErr w:type="gramStart"/>
      <w:r>
        <w:rPr>
          <w:rFonts w:ascii="Times New Roman" w:eastAsia="Times New Roman" w:hAnsi="Times New Roman" w:cs="Times New Roman"/>
          <w:sz w:val="24"/>
          <w:szCs w:val="24"/>
        </w:rPr>
        <w:t>Anticipada.-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4.1.</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Antecedentes.-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4.1.a.</w:t>
      </w:r>
      <w:r>
        <w:rPr>
          <w:rFonts w:ascii="Times New Roman" w:eastAsia="Times New Roman" w:hAnsi="Times New Roman" w:cs="Times New Roman"/>
          <w:sz w:val="24"/>
          <w:szCs w:val="24"/>
        </w:rPr>
        <w:t xml:space="preserve"> Código Procesal Penal Modelo para Iberoamérica de 1989.- </w:t>
      </w:r>
      <w:r>
        <w:rPr>
          <w:rFonts w:ascii="Times New Roman" w:eastAsia="Times New Roman" w:hAnsi="Times New Roman" w:cs="Times New Roman"/>
          <w:b/>
          <w:sz w:val="24"/>
          <w:szCs w:val="24"/>
        </w:rPr>
        <w:t>4.1.b.</w:t>
      </w:r>
      <w:r>
        <w:rPr>
          <w:rFonts w:ascii="Times New Roman" w:eastAsia="Times New Roman" w:hAnsi="Times New Roman" w:cs="Times New Roman"/>
          <w:sz w:val="24"/>
          <w:szCs w:val="24"/>
        </w:rPr>
        <w:t xml:space="preserve"> Ley N.º 26320 de fecha 03/05/1994.- </w:t>
      </w:r>
      <w:r>
        <w:rPr>
          <w:rFonts w:ascii="Times New Roman" w:eastAsia="Times New Roman" w:hAnsi="Times New Roman" w:cs="Times New Roman"/>
          <w:b/>
          <w:sz w:val="24"/>
          <w:szCs w:val="24"/>
        </w:rPr>
        <w:t>4.1.c.</w:t>
      </w:r>
      <w:r>
        <w:rPr>
          <w:rFonts w:ascii="Times New Roman" w:eastAsia="Times New Roman" w:hAnsi="Times New Roman" w:cs="Times New Roman"/>
          <w:sz w:val="24"/>
          <w:szCs w:val="24"/>
        </w:rPr>
        <w:t xml:space="preserve"> Ley N.º 28008 de fecha 18/06/2003.</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4.1.d.</w:t>
      </w:r>
      <w:proofErr w:type="gramEnd"/>
      <w:r>
        <w:rPr>
          <w:rFonts w:ascii="Times New Roman" w:eastAsia="Times New Roman" w:hAnsi="Times New Roman" w:cs="Times New Roman"/>
          <w:sz w:val="24"/>
          <w:szCs w:val="24"/>
        </w:rPr>
        <w:t xml:space="preserve"> Nuevo Código Procesal Penal de 2004.- </w:t>
      </w:r>
      <w:r>
        <w:rPr>
          <w:rFonts w:ascii="Times New Roman" w:eastAsia="Times New Roman" w:hAnsi="Times New Roman" w:cs="Times New Roman"/>
          <w:b/>
          <w:sz w:val="24"/>
          <w:szCs w:val="24"/>
        </w:rPr>
        <w:t>4.2.</w:t>
      </w:r>
      <w:r>
        <w:rPr>
          <w:rFonts w:ascii="Times New Roman" w:eastAsia="Times New Roman" w:hAnsi="Times New Roman" w:cs="Times New Roman"/>
          <w:sz w:val="24"/>
          <w:szCs w:val="24"/>
        </w:rPr>
        <w:t xml:space="preserve"> Acuerdo Plenario N.º 5-2009/CJ-116 “Proceso de Terminación Anticipada: Aspectos Esenciales” de fecha 13/11/2009.- </w:t>
      </w: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 xml:space="preserve"> Pleno Jurisdiccional Distrital en Materia Penal – Corte Superior de Justicia de Ancash 2018.- </w:t>
      </w:r>
      <w:r>
        <w:rPr>
          <w:rFonts w:ascii="Times New Roman" w:eastAsia="Times New Roman" w:hAnsi="Times New Roman" w:cs="Times New Roman"/>
          <w:b/>
          <w:sz w:val="24"/>
          <w:szCs w:val="24"/>
        </w:rPr>
        <w:t>4.4.</w:t>
      </w:r>
      <w:r>
        <w:rPr>
          <w:rFonts w:ascii="Times New Roman" w:eastAsia="Times New Roman" w:hAnsi="Times New Roman" w:cs="Times New Roman"/>
          <w:sz w:val="24"/>
          <w:szCs w:val="24"/>
        </w:rPr>
        <w:t xml:space="preserve"> Pronunciamientos </w:t>
      </w:r>
      <w:proofErr w:type="gramStart"/>
      <w:r>
        <w:rPr>
          <w:rFonts w:ascii="Times New Roman" w:eastAsia="Times New Roman" w:hAnsi="Times New Roman" w:cs="Times New Roman"/>
          <w:sz w:val="24"/>
          <w:szCs w:val="24"/>
        </w:rPr>
        <w:t>Judiciales.-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4.4.a.</w:t>
      </w:r>
      <w:r>
        <w:rPr>
          <w:rFonts w:ascii="Times New Roman" w:eastAsia="Times New Roman" w:hAnsi="Times New Roman" w:cs="Times New Roman"/>
          <w:sz w:val="24"/>
          <w:szCs w:val="24"/>
        </w:rPr>
        <w:t xml:space="preserve"> Corte Superior de Justicia de Huaral y </w:t>
      </w:r>
      <w:proofErr w:type="gramStart"/>
      <w:r>
        <w:rPr>
          <w:rFonts w:ascii="Times New Roman" w:eastAsia="Times New Roman" w:hAnsi="Times New Roman" w:cs="Times New Roman"/>
          <w:sz w:val="24"/>
          <w:szCs w:val="24"/>
        </w:rPr>
        <w:t>Huaura.-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4.4.b.</w:t>
      </w:r>
      <w:r>
        <w:rPr>
          <w:rFonts w:ascii="Times New Roman" w:eastAsia="Times New Roman" w:hAnsi="Times New Roman" w:cs="Times New Roman"/>
          <w:sz w:val="24"/>
          <w:szCs w:val="24"/>
        </w:rPr>
        <w:t xml:space="preserve"> Corte Superior de Justicia de La Libertad.-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Situación </w:t>
      </w:r>
      <w:proofErr w:type="gramStart"/>
      <w:r>
        <w:rPr>
          <w:rFonts w:ascii="Times New Roman" w:eastAsia="Times New Roman" w:hAnsi="Times New Roman" w:cs="Times New Roman"/>
          <w:sz w:val="24"/>
          <w:szCs w:val="24"/>
        </w:rPr>
        <w:t>Problemática.-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Toma de </w:t>
      </w:r>
      <w:proofErr w:type="gramStart"/>
      <w:r>
        <w:rPr>
          <w:rFonts w:ascii="Times New Roman" w:eastAsia="Times New Roman" w:hAnsi="Times New Roman" w:cs="Times New Roman"/>
          <w:sz w:val="24"/>
          <w:szCs w:val="24"/>
        </w:rPr>
        <w:t>Postura.-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Conclusiones.-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Bibliografía.-</w:t>
      </w:r>
      <w:proofErr w:type="gramEnd"/>
      <w:r>
        <w:rPr>
          <w:rFonts w:ascii="Times New Roman" w:eastAsia="Times New Roman" w:hAnsi="Times New Roman" w:cs="Times New Roman"/>
          <w:sz w:val="24"/>
          <w:szCs w:val="24"/>
        </w:rPr>
        <w:t xml:space="preserve"> </w:t>
      </w:r>
    </w:p>
    <w:p w:rsidR="009609BF" w:rsidRDefault="009609BF">
      <w:pPr>
        <w:spacing w:after="0" w:line="240" w:lineRule="auto"/>
        <w:ind w:left="3261"/>
        <w:jc w:val="both"/>
        <w:rPr>
          <w:rFonts w:ascii="Times New Roman" w:eastAsia="Times New Roman" w:hAnsi="Times New Roman" w:cs="Times New Roman"/>
          <w:color w:val="FF0000"/>
          <w:sz w:val="24"/>
          <w:szCs w:val="24"/>
          <w:highlight w:val="yellow"/>
        </w:rPr>
      </w:pPr>
    </w:p>
    <w:p w:rsidR="009609BF" w:rsidRDefault="009609BF">
      <w:pPr>
        <w:spacing w:after="0" w:line="240" w:lineRule="auto"/>
        <w:ind w:left="3261"/>
        <w:jc w:val="both"/>
        <w:rPr>
          <w:rFonts w:ascii="Times New Roman" w:eastAsia="Times New Roman" w:hAnsi="Times New Roman" w:cs="Times New Roman"/>
          <w:color w:val="FF0000"/>
          <w:sz w:val="24"/>
          <w:szCs w:val="24"/>
          <w:highlight w:val="yellow"/>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 </w:t>
      </w:r>
      <w:proofErr w:type="gramStart"/>
      <w:r>
        <w:rPr>
          <w:rFonts w:ascii="Times New Roman" w:eastAsia="Times New Roman" w:hAnsi="Times New Roman" w:cs="Times New Roman"/>
          <w:b/>
          <w:color w:val="000000"/>
          <w:sz w:val="28"/>
          <w:szCs w:val="28"/>
        </w:rPr>
        <w:t>Introducción.-</w:t>
      </w:r>
      <w:proofErr w:type="gramEnd"/>
    </w:p>
    <w:p w:rsidR="009609BF" w:rsidRDefault="009609BF">
      <w:pPr>
        <w:spacing w:after="0" w:line="276" w:lineRule="auto"/>
        <w:jc w:val="both"/>
        <w:rPr>
          <w:rFonts w:ascii="Times New Roman" w:eastAsia="Times New Roman" w:hAnsi="Times New Roman" w:cs="Times New Roman"/>
          <w:b/>
          <w:color w:val="FF0000"/>
          <w:sz w:val="24"/>
          <w:szCs w:val="24"/>
        </w:rPr>
      </w:pPr>
    </w:p>
    <w:p w:rsidR="009609BF" w:rsidRDefault="0066183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presente trabajo de investigación, realizaré un análisis sobre la errada interpretación que viene sosteniendo un sector de la doctrina y de la magistratura a nivel nacional, respecto de la posibilidad de incoar un proceso de especial de Terminación Anticipada durante el desarrollo de la Etapa Intermedia del proceso penal común, para esto me apoyaré en la legislación y doctrina nacional y extranjera. Sin embargo, previo avocarme al análisis de la situación problemática antes descrita, me remitiré al Nuevo Código Procesal Penal de 2004 y precisaré como se encuentra estructurado el proceso penal común Investigación Preparatoria -investigación o diligencias preliminares e investigación preparatoria propiamente dicha-, Etapa Intermedia y finalmente Juzgamiento, así como con que actos inicia y concluye cada una de estas etapas, lo que será de suma importancia para identificar como opera la institución de la preclusión, la misma que si bien es cierto no se encuentra recogida de forma taxativa en el cuerpo normativo antes mencionado, cuenta con reconocimiento constitucional, al encontrarse comprendida de forma implícita en el inciso 3 del artículo 139 de nuestra Constitución Política del Perú, que reconoce el Derecho al Debido proceso. </w:t>
      </w:r>
    </w:p>
    <w:p w:rsidR="009609BF" w:rsidRDefault="009609BF">
      <w:pPr>
        <w:spacing w:after="0" w:line="276" w:lineRule="auto"/>
        <w:ind w:firstLine="708"/>
        <w:jc w:val="both"/>
        <w:rPr>
          <w:rFonts w:ascii="Times New Roman" w:eastAsia="Times New Roman" w:hAnsi="Times New Roman" w:cs="Times New Roman"/>
          <w:color w:val="000000"/>
          <w:sz w:val="24"/>
          <w:szCs w:val="24"/>
        </w:rPr>
      </w:pPr>
    </w:p>
    <w:p w:rsidR="009609BF" w:rsidRDefault="0066183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Luego de establecida la estructura del proceso penal común, haré una breve referencia a la Etapa Intermedia, la cual tiene una fase escrita y otra oral, en específico me concentraré en el momento de la formulación de la Acusación Fiscal o Requerimiento Acusatorio, y sobre todo a la trascendía que esta tiene dentro del proceso penal antes mencionado, ya que no se puede desconocer de ningún modo que es a través de la formulación que el Fiscal da a conocer su postura respecto de los hechos que fueron objeto de su investigación y se convertirá así en parte procesal, dejando de lado el Principio de Objetividad que estuvo en vigor durante la primera etapa procesal; de igual modo, desarrollaré en que consiste el proceso especial de Terminación Anticipada, para esto me remitiré al Código Procesal Penal Modelo para Iberoamérica de 1989, que estableció pautas generales para que los países de nuestra región implementarán procesos penales respetuosos de los Derechos Fundamentales, así como a las leyes N.º </w:t>
      </w:r>
      <w:r>
        <w:rPr>
          <w:rFonts w:ascii="Times New Roman" w:eastAsia="Times New Roman" w:hAnsi="Times New Roman" w:cs="Times New Roman"/>
          <w:color w:val="000000"/>
          <w:sz w:val="24"/>
          <w:szCs w:val="24"/>
        </w:rPr>
        <w:lastRenderedPageBreak/>
        <w:t xml:space="preserve">26320 de fecha 3 de mayo de 1994 y N.º 28008 de fecha 18 de junio de 2003, las cuales aunque incipientemente establecieron pautas sobre la justicia penal negociada o consensuada, pero solo para los delitos de Tráfico Ilícito de Drogas y Aduaneros respectivamente, aunque no se puede desconocer que estos sentaron las bases de lo que hoy en día conocemos como proceso especial de Terminación Anticipada,  de acuerdo al Nuevo Código Procesal Penal de 2004 , el mismo que lo regula en sus artículos del 468 al 471. </w:t>
      </w:r>
    </w:p>
    <w:p w:rsidR="009609BF" w:rsidRDefault="009609BF">
      <w:pPr>
        <w:spacing w:after="0" w:line="276" w:lineRule="auto"/>
        <w:ind w:firstLine="708"/>
        <w:jc w:val="both"/>
        <w:rPr>
          <w:rFonts w:ascii="Times New Roman" w:eastAsia="Times New Roman" w:hAnsi="Times New Roman" w:cs="Times New Roman"/>
          <w:color w:val="000000"/>
          <w:sz w:val="24"/>
          <w:szCs w:val="24"/>
        </w:rPr>
      </w:pPr>
    </w:p>
    <w:p w:rsidR="009609BF" w:rsidRDefault="0066183D">
      <w:pPr>
        <w:spacing w:after="0" w:line="276"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 el inciso 1 del artículo 468 del cuerpo normativo antes mencionado, regula la oportunidad para la incoación del proceso especial de Terminación Anticipada, y sobre este punto existe a mi consideración un criterio errado que viene siendo difundido por un grupo de magistrados de la zona norte de nuestro país, así como por algunos académicos, quienes sostienen que es posible la incoación del proceso especial de Terminación Anticipada durante el desarrollo de la Etapa Intermedia, lo que pretendo desvirtuar con el presente trabajo de investigación. Finalmente, ya delimitada la situación problemática la contrastaré con un caso práctico el cual resolveré y además propondré una reforma legislativa del inciso 1 del artículo 468 del Nuevo Código Procesal Penal, con la finalidad de evitar así interpretaciones erradas que resultan atentatorias contra el espíritu del cuerpo legal antes mencionado, las mismas que solo contribuyen a la incrementar la mala percepción por parte de la ciudadanía sobre los operadores del sistema de administración de justicia. </w:t>
      </w:r>
    </w:p>
    <w:p w:rsidR="009609BF" w:rsidRDefault="009609BF">
      <w:pPr>
        <w:spacing w:after="0" w:line="276" w:lineRule="auto"/>
        <w:ind w:firstLine="708"/>
        <w:jc w:val="both"/>
        <w:rPr>
          <w:rFonts w:ascii="Times New Roman" w:eastAsia="Times New Roman" w:hAnsi="Times New Roman" w:cs="Times New Roman"/>
          <w:color w:val="000000"/>
          <w:sz w:val="24"/>
          <w:szCs w:val="24"/>
        </w:rPr>
      </w:pPr>
    </w:p>
    <w:p w:rsidR="009609BF" w:rsidRDefault="009609BF">
      <w:pPr>
        <w:spacing w:after="0" w:line="276" w:lineRule="auto"/>
        <w:ind w:firstLine="708"/>
        <w:jc w:val="both"/>
        <w:rPr>
          <w:rFonts w:ascii="Times New Roman" w:eastAsia="Times New Roman" w:hAnsi="Times New Roman" w:cs="Times New Roman"/>
          <w:sz w:val="24"/>
          <w:szCs w:val="24"/>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El Nuevo Código Procesal Penal de 2004.-</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Nuevo Código Procesal Penal de 2004 -en adelante N.C.P.P. 2004- o Decreto Legislativo N.º 957 de fecha 22 de julio de 2004, que instaura en nuestro país un sistema procesal de corte acusatorio adversarial, regula el denominado proceso penal común, así como otros siete procesos especiales, estos en su gran mayoría se encuentran estructurados en tres etapas, la primera de estas denominada </w:t>
      </w:r>
      <w:r>
        <w:rPr>
          <w:rFonts w:ascii="Times New Roman" w:eastAsia="Times New Roman" w:hAnsi="Times New Roman" w:cs="Times New Roman"/>
          <w:b/>
          <w:color w:val="000000"/>
          <w:sz w:val="24"/>
          <w:szCs w:val="24"/>
        </w:rPr>
        <w:t>Investigación Preparatoria</w:t>
      </w:r>
      <w:r>
        <w:rPr>
          <w:rFonts w:ascii="Times New Roman" w:eastAsia="Times New Roman" w:hAnsi="Times New Roman" w:cs="Times New Roman"/>
          <w:color w:val="000000"/>
          <w:sz w:val="24"/>
          <w:szCs w:val="24"/>
        </w:rPr>
        <w:t xml:space="preserve"> -se encuentra subdividida en investigación o diligencias preliminares e investigación preparatoria propiamente dicha-, la segunda </w:t>
      </w:r>
      <w:r>
        <w:rPr>
          <w:rFonts w:ascii="Times New Roman" w:eastAsia="Times New Roman" w:hAnsi="Times New Roman" w:cs="Times New Roman"/>
          <w:b/>
          <w:color w:val="000000"/>
          <w:sz w:val="24"/>
          <w:szCs w:val="24"/>
        </w:rPr>
        <w:t>Etapa Intermedia</w:t>
      </w:r>
      <w:r>
        <w:rPr>
          <w:rFonts w:ascii="Times New Roman" w:eastAsia="Times New Roman" w:hAnsi="Times New Roman" w:cs="Times New Roman"/>
          <w:color w:val="000000"/>
          <w:sz w:val="24"/>
          <w:szCs w:val="24"/>
        </w:rPr>
        <w:t xml:space="preserve">; y finalmente el </w:t>
      </w:r>
      <w:r>
        <w:rPr>
          <w:rFonts w:ascii="Times New Roman" w:eastAsia="Times New Roman" w:hAnsi="Times New Roman" w:cs="Times New Roman"/>
          <w:b/>
          <w:color w:val="000000"/>
          <w:sz w:val="24"/>
          <w:szCs w:val="24"/>
        </w:rPr>
        <w:t>Juzgamiento</w:t>
      </w:r>
      <w:r>
        <w:rPr>
          <w:rFonts w:ascii="Times New Roman" w:eastAsia="Times New Roman" w:hAnsi="Times New Roman" w:cs="Times New Roman"/>
          <w:color w:val="000000"/>
          <w:sz w:val="24"/>
          <w:szCs w:val="24"/>
        </w:rPr>
        <w:t xml:space="preserve">, pese a que el N.C.P.P. 2004 no lo señale de forma expresa o taxativa, atendiendo al Principio de Supremacía Constitucional, este reconoce la </w:t>
      </w:r>
      <w:r>
        <w:rPr>
          <w:rFonts w:ascii="Times New Roman" w:eastAsia="Times New Roman" w:hAnsi="Times New Roman" w:cs="Times New Roman"/>
          <w:b/>
          <w:color w:val="000000"/>
          <w:sz w:val="24"/>
          <w:szCs w:val="24"/>
        </w:rPr>
        <w:t>institución de la preclusión,</w:t>
      </w:r>
      <w:r>
        <w:rPr>
          <w:rFonts w:ascii="Times New Roman" w:eastAsia="Times New Roman" w:hAnsi="Times New Roman" w:cs="Times New Roman"/>
          <w:color w:val="000000"/>
          <w:sz w:val="24"/>
          <w:szCs w:val="24"/>
        </w:rPr>
        <w:t xml:space="preserve"> la cual se encuentra recogida dentro del Derecho al Debido Proceso -véase el inciso 3) del artículo 139 de la Constitución Política del Perú- la misma “tiene como objeto ordenar y organizar el contradictorio procesal, determinar el inicio y fin de la fases y etapas procesales determinando el avance del proceso; está esencialmente vinculado al desarrollo progresivo y continuo del contradictorio procesal”. (Sala Penal Nacional – Colegiado D, </w:t>
      </w:r>
      <w:proofErr w:type="spellStart"/>
      <w:r>
        <w:rPr>
          <w:rFonts w:ascii="Times New Roman" w:eastAsia="Times New Roman" w:hAnsi="Times New Roman" w:cs="Times New Roman"/>
          <w:color w:val="000000"/>
          <w:sz w:val="24"/>
          <w:szCs w:val="24"/>
        </w:rPr>
        <w:t>Exp</w:t>
      </w:r>
      <w:proofErr w:type="spellEnd"/>
      <w:r>
        <w:rPr>
          <w:rFonts w:ascii="Times New Roman" w:eastAsia="Times New Roman" w:hAnsi="Times New Roman" w:cs="Times New Roman"/>
          <w:color w:val="000000"/>
          <w:sz w:val="24"/>
          <w:szCs w:val="24"/>
        </w:rPr>
        <w:t xml:space="preserve">. 100-2010-0, 2017).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modo de ilustración en la siguiente tabla se podrá identificar con claridad el inicio y finalidad de cada una de las etapas que regulan el proceso penal común, denotando así el respecto a la institución de la preclusión -a la que me referí en el párrafo precedente-.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
        <w:gridCol w:w="2108"/>
        <w:gridCol w:w="2108"/>
        <w:gridCol w:w="1955"/>
        <w:gridCol w:w="1829"/>
      </w:tblGrid>
      <w:tr w:rsidR="009609BF">
        <w:tc>
          <w:tcPr>
            <w:tcW w:w="494" w:type="dxa"/>
            <w:vMerge w:val="restart"/>
            <w:shd w:val="clear" w:color="auto" w:fill="000000"/>
          </w:tcPr>
          <w:p w:rsidR="009609BF" w:rsidRDefault="009609BF">
            <w:pPr>
              <w:tabs>
                <w:tab w:val="left" w:pos="567"/>
              </w:tabs>
              <w:spacing w:line="276" w:lineRule="auto"/>
              <w:jc w:val="both"/>
              <w:rPr>
                <w:rFonts w:ascii="Times New Roman" w:eastAsia="Times New Roman" w:hAnsi="Times New Roman" w:cs="Times New Roman"/>
                <w:color w:val="000000"/>
                <w:sz w:val="16"/>
                <w:szCs w:val="16"/>
              </w:rPr>
            </w:pPr>
          </w:p>
        </w:tc>
        <w:tc>
          <w:tcPr>
            <w:tcW w:w="4216" w:type="dxa"/>
            <w:gridSpan w:val="2"/>
            <w:shd w:val="clear" w:color="auto" w:fill="000000"/>
          </w:tcPr>
          <w:p w:rsidR="009609BF" w:rsidRDefault="009609BF">
            <w:pPr>
              <w:tabs>
                <w:tab w:val="left" w:pos="567"/>
              </w:tabs>
              <w:spacing w:line="276" w:lineRule="auto"/>
              <w:jc w:val="center"/>
              <w:rPr>
                <w:rFonts w:ascii="Times New Roman" w:eastAsia="Times New Roman" w:hAnsi="Times New Roman" w:cs="Times New Roman"/>
                <w:b/>
                <w:color w:val="000000"/>
                <w:sz w:val="4"/>
                <w:szCs w:val="4"/>
              </w:rPr>
            </w:pPr>
          </w:p>
          <w:p w:rsidR="009609BF" w:rsidRDefault="0066183D">
            <w:pPr>
              <w:tabs>
                <w:tab w:val="left" w:pos="567"/>
              </w:tabs>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INVESTIGACIÓN PREPARATORIA</w:t>
            </w:r>
          </w:p>
          <w:p w:rsidR="009609BF" w:rsidRDefault="009609BF">
            <w:pPr>
              <w:tabs>
                <w:tab w:val="left" w:pos="567"/>
              </w:tabs>
              <w:spacing w:line="276" w:lineRule="auto"/>
              <w:jc w:val="center"/>
              <w:rPr>
                <w:rFonts w:ascii="Times New Roman" w:eastAsia="Times New Roman" w:hAnsi="Times New Roman" w:cs="Times New Roman"/>
                <w:b/>
                <w:color w:val="000000"/>
                <w:sz w:val="4"/>
                <w:szCs w:val="4"/>
              </w:rPr>
            </w:pPr>
          </w:p>
        </w:tc>
        <w:tc>
          <w:tcPr>
            <w:tcW w:w="1955" w:type="dxa"/>
            <w:vMerge w:val="restart"/>
            <w:shd w:val="clear" w:color="auto" w:fill="000000"/>
          </w:tcPr>
          <w:p w:rsidR="009609BF" w:rsidRDefault="009609BF">
            <w:pPr>
              <w:tabs>
                <w:tab w:val="left" w:pos="567"/>
              </w:tabs>
              <w:spacing w:line="276" w:lineRule="auto"/>
              <w:jc w:val="center"/>
              <w:rPr>
                <w:rFonts w:ascii="Times New Roman" w:eastAsia="Times New Roman" w:hAnsi="Times New Roman" w:cs="Times New Roman"/>
                <w:b/>
                <w:color w:val="FF0000"/>
                <w:sz w:val="30"/>
                <w:szCs w:val="30"/>
              </w:rPr>
            </w:pPr>
          </w:p>
          <w:p w:rsidR="009609BF" w:rsidRDefault="0066183D">
            <w:pPr>
              <w:tabs>
                <w:tab w:val="left" w:pos="567"/>
              </w:tabs>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ETAPA </w:t>
            </w:r>
          </w:p>
          <w:p w:rsidR="009609BF" w:rsidRDefault="0066183D">
            <w:pPr>
              <w:tabs>
                <w:tab w:val="left" w:pos="567"/>
              </w:tabs>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INTERMEDIA</w:t>
            </w:r>
          </w:p>
          <w:p w:rsidR="009609BF" w:rsidRDefault="009609BF">
            <w:pPr>
              <w:tabs>
                <w:tab w:val="left" w:pos="567"/>
              </w:tabs>
              <w:spacing w:line="276" w:lineRule="auto"/>
              <w:jc w:val="center"/>
              <w:rPr>
                <w:rFonts w:ascii="Times New Roman" w:eastAsia="Times New Roman" w:hAnsi="Times New Roman" w:cs="Times New Roman"/>
                <w:b/>
                <w:color w:val="FF0000"/>
                <w:sz w:val="30"/>
                <w:szCs w:val="30"/>
              </w:rPr>
            </w:pPr>
          </w:p>
        </w:tc>
        <w:tc>
          <w:tcPr>
            <w:tcW w:w="1829" w:type="dxa"/>
            <w:vMerge w:val="restart"/>
            <w:shd w:val="clear" w:color="auto" w:fill="000000"/>
          </w:tcPr>
          <w:p w:rsidR="009609BF" w:rsidRDefault="009609BF">
            <w:pPr>
              <w:tabs>
                <w:tab w:val="left" w:pos="567"/>
              </w:tabs>
              <w:spacing w:line="276" w:lineRule="auto"/>
              <w:jc w:val="center"/>
              <w:rPr>
                <w:rFonts w:ascii="Times New Roman" w:eastAsia="Times New Roman" w:hAnsi="Times New Roman" w:cs="Times New Roman"/>
                <w:b/>
                <w:color w:val="FF0000"/>
                <w:sz w:val="38"/>
                <w:szCs w:val="38"/>
              </w:rPr>
            </w:pPr>
          </w:p>
          <w:p w:rsidR="009609BF" w:rsidRDefault="0066183D">
            <w:pPr>
              <w:tabs>
                <w:tab w:val="left" w:pos="567"/>
              </w:tabs>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JUZGAMIENTO</w:t>
            </w:r>
          </w:p>
          <w:p w:rsidR="009609BF" w:rsidRDefault="009609BF">
            <w:pPr>
              <w:tabs>
                <w:tab w:val="left" w:pos="567"/>
              </w:tabs>
              <w:spacing w:line="276" w:lineRule="auto"/>
              <w:jc w:val="center"/>
              <w:rPr>
                <w:rFonts w:ascii="Times New Roman" w:eastAsia="Times New Roman" w:hAnsi="Times New Roman" w:cs="Times New Roman"/>
                <w:b/>
                <w:color w:val="FF0000"/>
                <w:sz w:val="38"/>
                <w:szCs w:val="38"/>
              </w:rPr>
            </w:pPr>
          </w:p>
        </w:tc>
      </w:tr>
      <w:tr w:rsidR="009609BF">
        <w:tc>
          <w:tcPr>
            <w:tcW w:w="494" w:type="dxa"/>
            <w:vMerge/>
            <w:shd w:val="clear" w:color="auto" w:fill="000000"/>
          </w:tcPr>
          <w:p w:rsidR="009609BF" w:rsidRDefault="009609BF">
            <w:pPr>
              <w:widowControl w:val="0"/>
              <w:pBdr>
                <w:top w:val="nil"/>
                <w:left w:val="nil"/>
                <w:bottom w:val="nil"/>
                <w:right w:val="nil"/>
                <w:between w:val="nil"/>
              </w:pBdr>
              <w:spacing w:line="276" w:lineRule="auto"/>
              <w:rPr>
                <w:rFonts w:ascii="Times New Roman" w:eastAsia="Times New Roman" w:hAnsi="Times New Roman" w:cs="Times New Roman"/>
                <w:b/>
                <w:color w:val="FF0000"/>
                <w:sz w:val="38"/>
                <w:szCs w:val="38"/>
              </w:rPr>
            </w:pPr>
          </w:p>
        </w:tc>
        <w:tc>
          <w:tcPr>
            <w:tcW w:w="2108" w:type="dxa"/>
            <w:shd w:val="clear" w:color="auto" w:fill="000000"/>
          </w:tcPr>
          <w:p w:rsidR="009609BF" w:rsidRDefault="009609BF">
            <w:pPr>
              <w:tabs>
                <w:tab w:val="left" w:pos="567"/>
              </w:tabs>
              <w:spacing w:line="276" w:lineRule="auto"/>
              <w:jc w:val="center"/>
              <w:rPr>
                <w:rFonts w:ascii="Times New Roman" w:eastAsia="Times New Roman" w:hAnsi="Times New Roman" w:cs="Times New Roman"/>
                <w:b/>
                <w:color w:val="000000"/>
                <w:sz w:val="4"/>
                <w:szCs w:val="4"/>
              </w:rPr>
            </w:pPr>
          </w:p>
          <w:p w:rsidR="009609BF" w:rsidRDefault="0066183D">
            <w:pPr>
              <w:tabs>
                <w:tab w:val="left" w:pos="567"/>
              </w:tabs>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INVESTIGACIÓN O DILIGENCIAS PRELIMINARES</w:t>
            </w:r>
          </w:p>
          <w:p w:rsidR="009609BF" w:rsidRDefault="009609BF">
            <w:pPr>
              <w:tabs>
                <w:tab w:val="left" w:pos="567"/>
              </w:tabs>
              <w:spacing w:line="276" w:lineRule="auto"/>
              <w:jc w:val="center"/>
              <w:rPr>
                <w:rFonts w:ascii="Times New Roman" w:eastAsia="Times New Roman" w:hAnsi="Times New Roman" w:cs="Times New Roman"/>
                <w:b/>
                <w:color w:val="000000"/>
                <w:sz w:val="4"/>
                <w:szCs w:val="4"/>
              </w:rPr>
            </w:pPr>
          </w:p>
        </w:tc>
        <w:tc>
          <w:tcPr>
            <w:tcW w:w="2108" w:type="dxa"/>
            <w:shd w:val="clear" w:color="auto" w:fill="000000"/>
          </w:tcPr>
          <w:p w:rsidR="009609BF" w:rsidRDefault="009609BF">
            <w:pPr>
              <w:tabs>
                <w:tab w:val="left" w:pos="567"/>
              </w:tabs>
              <w:spacing w:line="276" w:lineRule="auto"/>
              <w:jc w:val="center"/>
              <w:rPr>
                <w:rFonts w:ascii="Times New Roman" w:eastAsia="Times New Roman" w:hAnsi="Times New Roman" w:cs="Times New Roman"/>
                <w:b/>
                <w:color w:val="FF0000"/>
                <w:sz w:val="16"/>
                <w:szCs w:val="16"/>
              </w:rPr>
            </w:pPr>
          </w:p>
          <w:p w:rsidR="009609BF" w:rsidRDefault="0066183D">
            <w:pPr>
              <w:tabs>
                <w:tab w:val="left" w:pos="567"/>
              </w:tabs>
              <w:spacing w:line="276" w:lineRule="auto"/>
              <w:jc w:val="center"/>
              <w:rPr>
                <w:rFonts w:ascii="Times New Roman" w:eastAsia="Times New Roman" w:hAnsi="Times New Roman" w:cs="Times New Roman"/>
                <w:b/>
                <w:color w:val="FF0000"/>
                <w:sz w:val="16"/>
                <w:szCs w:val="16"/>
              </w:rPr>
            </w:pPr>
            <w:r>
              <w:rPr>
                <w:rFonts w:ascii="Times New Roman" w:eastAsia="Times New Roman" w:hAnsi="Times New Roman" w:cs="Times New Roman"/>
                <w:b/>
                <w:color w:val="FFFFFF"/>
                <w:sz w:val="20"/>
                <w:szCs w:val="20"/>
              </w:rPr>
              <w:t>INVESTIGACIÓN PREPARATORIA</w:t>
            </w:r>
          </w:p>
        </w:tc>
        <w:tc>
          <w:tcPr>
            <w:tcW w:w="1955" w:type="dxa"/>
            <w:vMerge/>
            <w:shd w:val="clear" w:color="auto" w:fill="000000"/>
          </w:tcPr>
          <w:p w:rsidR="009609BF" w:rsidRDefault="009609BF">
            <w:pPr>
              <w:widowControl w:val="0"/>
              <w:pBdr>
                <w:top w:val="nil"/>
                <w:left w:val="nil"/>
                <w:bottom w:val="nil"/>
                <w:right w:val="nil"/>
                <w:between w:val="nil"/>
              </w:pBdr>
              <w:spacing w:line="276" w:lineRule="auto"/>
              <w:rPr>
                <w:rFonts w:ascii="Times New Roman" w:eastAsia="Times New Roman" w:hAnsi="Times New Roman" w:cs="Times New Roman"/>
                <w:b/>
                <w:color w:val="FF0000"/>
                <w:sz w:val="16"/>
                <w:szCs w:val="16"/>
              </w:rPr>
            </w:pPr>
          </w:p>
        </w:tc>
        <w:tc>
          <w:tcPr>
            <w:tcW w:w="1829" w:type="dxa"/>
            <w:vMerge/>
            <w:shd w:val="clear" w:color="auto" w:fill="000000"/>
          </w:tcPr>
          <w:p w:rsidR="009609BF" w:rsidRDefault="009609BF">
            <w:pPr>
              <w:widowControl w:val="0"/>
              <w:pBdr>
                <w:top w:val="nil"/>
                <w:left w:val="nil"/>
                <w:bottom w:val="nil"/>
                <w:right w:val="nil"/>
                <w:between w:val="nil"/>
              </w:pBdr>
              <w:spacing w:line="276" w:lineRule="auto"/>
              <w:rPr>
                <w:rFonts w:ascii="Times New Roman" w:eastAsia="Times New Roman" w:hAnsi="Times New Roman" w:cs="Times New Roman"/>
                <w:b/>
                <w:color w:val="FF0000"/>
                <w:sz w:val="16"/>
                <w:szCs w:val="16"/>
              </w:rPr>
            </w:pPr>
          </w:p>
        </w:tc>
      </w:tr>
      <w:tr w:rsidR="009609BF">
        <w:trPr>
          <w:trHeight w:val="1120"/>
        </w:trPr>
        <w:tc>
          <w:tcPr>
            <w:tcW w:w="494" w:type="dxa"/>
            <w:shd w:val="clear" w:color="auto" w:fill="000000"/>
          </w:tcPr>
          <w:p w:rsidR="009609BF" w:rsidRDefault="0066183D">
            <w:pPr>
              <w:tabs>
                <w:tab w:val="left" w:pos="567"/>
              </w:tabs>
              <w:spacing w:line="276" w:lineRule="auto"/>
              <w:ind w:left="113" w:right="113"/>
              <w:jc w:val="center"/>
              <w:rPr>
                <w:rFonts w:ascii="Times New Roman" w:eastAsia="Times New Roman" w:hAnsi="Times New Roman" w:cs="Times New Roman"/>
                <w:b/>
                <w:color w:val="000000"/>
                <w:sz w:val="14"/>
                <w:szCs w:val="14"/>
              </w:rPr>
            </w:pPr>
            <w:r>
              <w:rPr>
                <w:rFonts w:ascii="Times New Roman" w:eastAsia="Times New Roman" w:hAnsi="Times New Roman" w:cs="Times New Roman"/>
                <w:b/>
                <w:color w:val="FFFFFF"/>
                <w:sz w:val="20"/>
                <w:szCs w:val="20"/>
              </w:rPr>
              <w:t>INICIO</w:t>
            </w:r>
          </w:p>
        </w:tc>
        <w:tc>
          <w:tcPr>
            <w:tcW w:w="2108" w:type="dxa"/>
          </w:tcPr>
          <w:p w:rsidR="009609BF" w:rsidRDefault="009609BF">
            <w:pPr>
              <w:tabs>
                <w:tab w:val="left" w:pos="567"/>
              </w:tabs>
              <w:spacing w:line="276" w:lineRule="auto"/>
              <w:jc w:val="center"/>
              <w:rPr>
                <w:rFonts w:ascii="Times New Roman" w:eastAsia="Times New Roman" w:hAnsi="Times New Roman" w:cs="Times New Roman"/>
                <w:b/>
                <w:color w:val="000000"/>
                <w:sz w:val="24"/>
                <w:szCs w:val="24"/>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Conocimiento de la </w:t>
            </w:r>
            <w:proofErr w:type="spellStart"/>
            <w:r>
              <w:rPr>
                <w:rFonts w:ascii="Times New Roman" w:eastAsia="Times New Roman" w:hAnsi="Times New Roman" w:cs="Times New Roman"/>
                <w:b/>
                <w:i/>
                <w:color w:val="000000"/>
                <w:sz w:val="16"/>
                <w:szCs w:val="16"/>
              </w:rPr>
              <w:t>notitia</w:t>
            </w:r>
            <w:proofErr w:type="spellEnd"/>
            <w:r>
              <w:rPr>
                <w:rFonts w:ascii="Times New Roman" w:eastAsia="Times New Roman" w:hAnsi="Times New Roman" w:cs="Times New Roman"/>
                <w:b/>
                <w:i/>
                <w:color w:val="000000"/>
                <w:sz w:val="16"/>
                <w:szCs w:val="16"/>
              </w:rPr>
              <w:t xml:space="preserve"> </w:t>
            </w:r>
            <w:proofErr w:type="spellStart"/>
            <w:r>
              <w:rPr>
                <w:rFonts w:ascii="Times New Roman" w:eastAsia="Times New Roman" w:hAnsi="Times New Roman" w:cs="Times New Roman"/>
                <w:b/>
                <w:i/>
                <w:color w:val="000000"/>
                <w:sz w:val="16"/>
                <w:szCs w:val="16"/>
              </w:rPr>
              <w:t>criminis</w:t>
            </w:r>
            <w:proofErr w:type="spellEnd"/>
          </w:p>
          <w:p w:rsidR="009609BF" w:rsidRDefault="0066183D">
            <w:pPr>
              <w:pBdr>
                <w:top w:val="nil"/>
                <w:left w:val="nil"/>
                <w:bottom w:val="nil"/>
                <w:right w:val="nil"/>
                <w:between w:val="nil"/>
              </w:pBdr>
              <w:tabs>
                <w:tab w:val="left" w:pos="567"/>
              </w:tabs>
              <w:spacing w:after="160" w:line="276" w:lineRule="auto"/>
              <w:ind w:left="202" w:hanging="720"/>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329 del NCPP)</w:t>
            </w:r>
          </w:p>
        </w:tc>
        <w:tc>
          <w:tcPr>
            <w:tcW w:w="2108" w:type="dxa"/>
          </w:tcPr>
          <w:p w:rsidR="009609BF" w:rsidRDefault="009609BF">
            <w:pPr>
              <w:tabs>
                <w:tab w:val="left" w:pos="567"/>
              </w:tabs>
              <w:spacing w:line="276" w:lineRule="auto"/>
              <w:jc w:val="center"/>
              <w:rPr>
                <w:rFonts w:ascii="Times New Roman" w:eastAsia="Times New Roman" w:hAnsi="Times New Roman" w:cs="Times New Roman"/>
                <w:b/>
                <w:color w:val="000000"/>
                <w:sz w:val="8"/>
                <w:szCs w:val="8"/>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Disposición de Formalización y continuación de la Investigación Preparatoria</w:t>
            </w:r>
          </w:p>
          <w:p w:rsidR="009609BF" w:rsidRDefault="0066183D">
            <w:pPr>
              <w:tabs>
                <w:tab w:val="left" w:pos="567"/>
              </w:tabs>
              <w:spacing w:line="276"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336 del NCPP).</w:t>
            </w:r>
          </w:p>
          <w:p w:rsidR="009609BF" w:rsidRDefault="009609BF">
            <w:pPr>
              <w:tabs>
                <w:tab w:val="left" w:pos="567"/>
              </w:tabs>
              <w:spacing w:line="276" w:lineRule="auto"/>
              <w:jc w:val="center"/>
              <w:rPr>
                <w:rFonts w:ascii="Times New Roman" w:eastAsia="Times New Roman" w:hAnsi="Times New Roman" w:cs="Times New Roman"/>
                <w:i/>
                <w:color w:val="000000"/>
                <w:sz w:val="8"/>
                <w:szCs w:val="8"/>
              </w:rPr>
            </w:pPr>
          </w:p>
        </w:tc>
        <w:tc>
          <w:tcPr>
            <w:tcW w:w="1955" w:type="dxa"/>
          </w:tcPr>
          <w:p w:rsidR="009609BF" w:rsidRDefault="009609BF">
            <w:pPr>
              <w:tabs>
                <w:tab w:val="left" w:pos="567"/>
              </w:tabs>
              <w:spacing w:line="276" w:lineRule="auto"/>
              <w:jc w:val="center"/>
              <w:rPr>
                <w:rFonts w:ascii="Times New Roman" w:eastAsia="Times New Roman" w:hAnsi="Times New Roman" w:cs="Times New Roman"/>
                <w:b/>
                <w:color w:val="000000"/>
                <w:sz w:val="8"/>
                <w:szCs w:val="8"/>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Disposición de Conclusión de la Investigación Preparatoria</w:t>
            </w:r>
          </w:p>
          <w:p w:rsidR="009609BF" w:rsidRDefault="0066183D">
            <w:pPr>
              <w:tabs>
                <w:tab w:val="left" w:pos="567"/>
              </w:tabs>
              <w:spacing w:line="276"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343 del NCPP).</w:t>
            </w:r>
          </w:p>
        </w:tc>
        <w:tc>
          <w:tcPr>
            <w:tcW w:w="1829" w:type="dxa"/>
          </w:tcPr>
          <w:p w:rsidR="009609BF" w:rsidRDefault="009609BF">
            <w:pPr>
              <w:tabs>
                <w:tab w:val="left" w:pos="567"/>
              </w:tabs>
              <w:spacing w:line="276" w:lineRule="auto"/>
              <w:jc w:val="center"/>
              <w:rPr>
                <w:rFonts w:ascii="Times New Roman" w:eastAsia="Times New Roman" w:hAnsi="Times New Roman" w:cs="Times New Roman"/>
                <w:b/>
                <w:color w:val="000000"/>
                <w:sz w:val="28"/>
                <w:szCs w:val="28"/>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Auto de enjuiciamiento</w:t>
            </w:r>
          </w:p>
          <w:p w:rsidR="009609BF" w:rsidRDefault="0066183D">
            <w:pPr>
              <w:tabs>
                <w:tab w:val="left" w:pos="567"/>
              </w:tabs>
              <w:spacing w:line="276"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535 del NCPP).</w:t>
            </w:r>
          </w:p>
          <w:p w:rsidR="009609BF" w:rsidRDefault="009609BF">
            <w:pPr>
              <w:tabs>
                <w:tab w:val="left" w:pos="567"/>
              </w:tabs>
              <w:spacing w:line="276" w:lineRule="auto"/>
              <w:jc w:val="both"/>
              <w:rPr>
                <w:rFonts w:ascii="Times New Roman" w:eastAsia="Times New Roman" w:hAnsi="Times New Roman" w:cs="Times New Roman"/>
                <w:color w:val="000000"/>
                <w:sz w:val="16"/>
                <w:szCs w:val="16"/>
              </w:rPr>
            </w:pPr>
          </w:p>
        </w:tc>
      </w:tr>
      <w:tr w:rsidR="009609BF">
        <w:trPr>
          <w:trHeight w:val="1120"/>
        </w:trPr>
        <w:tc>
          <w:tcPr>
            <w:tcW w:w="494" w:type="dxa"/>
            <w:shd w:val="clear" w:color="auto" w:fill="000000"/>
          </w:tcPr>
          <w:p w:rsidR="009609BF" w:rsidRDefault="0066183D">
            <w:pPr>
              <w:tabs>
                <w:tab w:val="left" w:pos="567"/>
              </w:tabs>
              <w:spacing w:line="276" w:lineRule="auto"/>
              <w:ind w:left="113" w:right="113"/>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FFFFFF"/>
                <w:sz w:val="20"/>
                <w:szCs w:val="20"/>
              </w:rPr>
              <w:t>CONCLUSIÓN</w:t>
            </w:r>
          </w:p>
        </w:tc>
        <w:tc>
          <w:tcPr>
            <w:tcW w:w="2108" w:type="dxa"/>
          </w:tcPr>
          <w:p w:rsidR="009609BF" w:rsidRDefault="009609BF">
            <w:pPr>
              <w:tabs>
                <w:tab w:val="left" w:pos="567"/>
              </w:tabs>
              <w:spacing w:line="276" w:lineRule="auto"/>
              <w:jc w:val="both"/>
              <w:rPr>
                <w:rFonts w:ascii="Times New Roman" w:eastAsia="Times New Roman" w:hAnsi="Times New Roman" w:cs="Times New Roman"/>
                <w:b/>
                <w:color w:val="000000"/>
                <w:sz w:val="8"/>
                <w:szCs w:val="8"/>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Disposición de Archivo -No procede Formalización y continuación de la Investigación Preparatoria-</w:t>
            </w:r>
          </w:p>
          <w:p w:rsidR="009609BF" w:rsidRDefault="0066183D">
            <w:pPr>
              <w:tabs>
                <w:tab w:val="left" w:pos="567"/>
              </w:tabs>
              <w:spacing w:line="276"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334 del NCPP).</w:t>
            </w:r>
          </w:p>
          <w:p w:rsidR="009609BF" w:rsidRDefault="009609BF">
            <w:pPr>
              <w:tabs>
                <w:tab w:val="left" w:pos="567"/>
              </w:tabs>
              <w:spacing w:line="276" w:lineRule="auto"/>
              <w:jc w:val="center"/>
              <w:rPr>
                <w:rFonts w:ascii="Times New Roman" w:eastAsia="Times New Roman" w:hAnsi="Times New Roman" w:cs="Times New Roman"/>
                <w:b/>
                <w:color w:val="000000"/>
                <w:sz w:val="14"/>
                <w:szCs w:val="14"/>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Disposición de Formalización y continuación de la Investigación Preparatoria</w:t>
            </w:r>
          </w:p>
          <w:p w:rsidR="009609BF" w:rsidRDefault="0066183D">
            <w:pPr>
              <w:pBdr>
                <w:top w:val="nil"/>
                <w:left w:val="nil"/>
                <w:bottom w:val="nil"/>
                <w:right w:val="nil"/>
                <w:between w:val="nil"/>
              </w:pBdr>
              <w:tabs>
                <w:tab w:val="left" w:pos="567"/>
              </w:tabs>
              <w:spacing w:line="276" w:lineRule="auto"/>
              <w:ind w:left="176" w:hanging="720"/>
              <w:jc w:val="both"/>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336 del NCPP).</w:t>
            </w:r>
          </w:p>
          <w:p w:rsidR="009609BF" w:rsidRDefault="009609BF">
            <w:pPr>
              <w:pBdr>
                <w:top w:val="nil"/>
                <w:left w:val="nil"/>
                <w:bottom w:val="nil"/>
                <w:right w:val="nil"/>
                <w:between w:val="nil"/>
              </w:pBdr>
              <w:tabs>
                <w:tab w:val="left" w:pos="567"/>
              </w:tabs>
              <w:spacing w:after="160" w:line="276" w:lineRule="auto"/>
              <w:ind w:left="176" w:hanging="720"/>
              <w:jc w:val="both"/>
              <w:rPr>
                <w:rFonts w:ascii="Times New Roman" w:eastAsia="Times New Roman" w:hAnsi="Times New Roman" w:cs="Times New Roman"/>
                <w:color w:val="000000"/>
                <w:sz w:val="8"/>
                <w:szCs w:val="8"/>
              </w:rPr>
            </w:pPr>
          </w:p>
        </w:tc>
        <w:tc>
          <w:tcPr>
            <w:tcW w:w="2108" w:type="dxa"/>
          </w:tcPr>
          <w:p w:rsidR="009609BF" w:rsidRDefault="009609BF">
            <w:pPr>
              <w:tabs>
                <w:tab w:val="left" w:pos="567"/>
              </w:tabs>
              <w:spacing w:line="276" w:lineRule="auto"/>
              <w:jc w:val="center"/>
              <w:rPr>
                <w:rFonts w:ascii="Times New Roman" w:eastAsia="Times New Roman" w:hAnsi="Times New Roman" w:cs="Times New Roman"/>
                <w:b/>
                <w:color w:val="000000"/>
                <w:sz w:val="60"/>
                <w:szCs w:val="60"/>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Disposición de Conclusión de la Investigación Preparatoria</w:t>
            </w:r>
          </w:p>
          <w:p w:rsidR="009609BF" w:rsidRDefault="0066183D">
            <w:pPr>
              <w:tabs>
                <w:tab w:val="left" w:pos="567"/>
              </w:tabs>
              <w:spacing w:line="276"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343 del NCPP).</w:t>
            </w:r>
          </w:p>
        </w:tc>
        <w:tc>
          <w:tcPr>
            <w:tcW w:w="1955" w:type="dxa"/>
          </w:tcPr>
          <w:p w:rsidR="009609BF" w:rsidRDefault="009609BF">
            <w:pPr>
              <w:tabs>
                <w:tab w:val="left" w:pos="567"/>
              </w:tabs>
              <w:spacing w:line="276" w:lineRule="auto"/>
              <w:jc w:val="center"/>
              <w:rPr>
                <w:rFonts w:ascii="Times New Roman" w:eastAsia="Times New Roman" w:hAnsi="Times New Roman" w:cs="Times New Roman"/>
                <w:b/>
                <w:color w:val="000000"/>
                <w:sz w:val="48"/>
                <w:szCs w:val="48"/>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Auto de enjuiciamiento</w:t>
            </w:r>
          </w:p>
          <w:p w:rsidR="009609BF" w:rsidRDefault="0066183D">
            <w:pPr>
              <w:tabs>
                <w:tab w:val="left" w:pos="567"/>
              </w:tabs>
              <w:spacing w:line="276"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353 del NCPP).</w:t>
            </w:r>
          </w:p>
          <w:p w:rsidR="009609BF" w:rsidRDefault="009609BF">
            <w:pPr>
              <w:tabs>
                <w:tab w:val="left" w:pos="567"/>
              </w:tabs>
              <w:spacing w:line="276" w:lineRule="auto"/>
              <w:jc w:val="center"/>
              <w:rPr>
                <w:rFonts w:ascii="Times New Roman" w:eastAsia="Times New Roman" w:hAnsi="Times New Roman" w:cs="Times New Roman"/>
                <w:color w:val="000000"/>
                <w:sz w:val="16"/>
                <w:szCs w:val="16"/>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Auto de sobreseimiento</w:t>
            </w:r>
          </w:p>
          <w:p w:rsidR="009609BF" w:rsidRDefault="0066183D">
            <w:pPr>
              <w:tabs>
                <w:tab w:val="left" w:pos="567"/>
              </w:tabs>
              <w:spacing w:line="276" w:lineRule="auto"/>
              <w:jc w:val="center"/>
              <w:rPr>
                <w:rFonts w:ascii="Times New Roman" w:eastAsia="Times New Roman" w:hAnsi="Times New Roman" w:cs="Times New Roman"/>
                <w:i/>
                <w:color w:val="000000"/>
                <w:sz w:val="14"/>
                <w:szCs w:val="14"/>
              </w:rPr>
            </w:pPr>
            <w:r>
              <w:rPr>
                <w:rFonts w:ascii="Times New Roman" w:eastAsia="Times New Roman" w:hAnsi="Times New Roman" w:cs="Times New Roman"/>
                <w:i/>
                <w:color w:val="000000"/>
                <w:sz w:val="16"/>
                <w:szCs w:val="16"/>
              </w:rPr>
              <w:t>(artículo 344 al 348 del NCPP).</w:t>
            </w:r>
          </w:p>
        </w:tc>
        <w:tc>
          <w:tcPr>
            <w:tcW w:w="1829" w:type="dxa"/>
          </w:tcPr>
          <w:p w:rsidR="009609BF" w:rsidRDefault="009609BF">
            <w:pPr>
              <w:tabs>
                <w:tab w:val="left" w:pos="567"/>
              </w:tabs>
              <w:spacing w:line="276" w:lineRule="auto"/>
              <w:jc w:val="center"/>
              <w:rPr>
                <w:rFonts w:ascii="Times New Roman" w:eastAsia="Times New Roman" w:hAnsi="Times New Roman" w:cs="Times New Roman"/>
                <w:b/>
                <w:color w:val="000000"/>
                <w:sz w:val="72"/>
                <w:szCs w:val="72"/>
              </w:rPr>
            </w:pPr>
          </w:p>
          <w:p w:rsidR="009609BF" w:rsidRDefault="0066183D">
            <w:pPr>
              <w:tabs>
                <w:tab w:val="left" w:pos="567"/>
              </w:tabs>
              <w:spacing w:line="276"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Lectura de Sentencia</w:t>
            </w:r>
          </w:p>
          <w:p w:rsidR="009609BF" w:rsidRDefault="0066183D">
            <w:pPr>
              <w:tabs>
                <w:tab w:val="left" w:pos="567"/>
              </w:tabs>
              <w:spacing w:line="276" w:lineRule="auto"/>
              <w:jc w:val="center"/>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(artículo 396 del NCPP).</w:t>
            </w:r>
          </w:p>
        </w:tc>
      </w:tr>
    </w:tbl>
    <w:p w:rsidR="009609BF" w:rsidRDefault="0066183D">
      <w:pPr>
        <w:tabs>
          <w:tab w:val="left" w:pos="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Fuente:</w:t>
      </w:r>
      <w:r>
        <w:rPr>
          <w:rFonts w:ascii="Times New Roman" w:eastAsia="Times New Roman" w:hAnsi="Times New Roman" w:cs="Times New Roman"/>
          <w:color w:val="000000"/>
          <w:sz w:val="24"/>
          <w:szCs w:val="24"/>
        </w:rPr>
        <w:t xml:space="preserve"> Elaboración propia.</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el presente artículo de investigación, la fase que nos atañe es la Etapa Intermedia -en adelante E.I.-; en especial el momento en el que inicia esta, como precisaré más adelante.</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La Etapa Intermedia del Proceso </w:t>
      </w:r>
      <w:proofErr w:type="gramStart"/>
      <w:r>
        <w:rPr>
          <w:rFonts w:ascii="Times New Roman" w:eastAsia="Times New Roman" w:hAnsi="Times New Roman" w:cs="Times New Roman"/>
          <w:b/>
          <w:color w:val="000000"/>
          <w:sz w:val="28"/>
          <w:szCs w:val="28"/>
        </w:rPr>
        <w:t>Penal.-</w:t>
      </w:r>
      <w:proofErr w:type="gramEnd"/>
      <w:r>
        <w:rPr>
          <w:rFonts w:ascii="Times New Roman" w:eastAsia="Times New Roman" w:hAnsi="Times New Roman" w:cs="Times New Roman"/>
          <w:b/>
          <w:color w:val="000000"/>
          <w:sz w:val="28"/>
          <w:szCs w:val="28"/>
        </w:rPr>
        <w:t xml:space="preserve">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E.I., en el proceso penal común se inicia con la emisión de la </w:t>
      </w:r>
      <w:r>
        <w:rPr>
          <w:rFonts w:ascii="Times New Roman" w:eastAsia="Times New Roman" w:hAnsi="Times New Roman" w:cs="Times New Roman"/>
          <w:b/>
          <w:color w:val="000000"/>
          <w:sz w:val="24"/>
          <w:szCs w:val="24"/>
        </w:rPr>
        <w:t>Disposición de Conclusión de la Investigación Preparatoria</w:t>
      </w:r>
      <w:r>
        <w:rPr>
          <w:rFonts w:ascii="Times New Roman" w:eastAsia="Times New Roman" w:hAnsi="Times New Roman" w:cs="Times New Roman"/>
          <w:color w:val="000000"/>
          <w:sz w:val="24"/>
          <w:szCs w:val="24"/>
        </w:rPr>
        <w:t xml:space="preserve">, ello en mérito a lo establecido por el </w:t>
      </w:r>
      <w:r>
        <w:rPr>
          <w:rFonts w:ascii="Times New Roman" w:eastAsia="Times New Roman" w:hAnsi="Times New Roman" w:cs="Times New Roman"/>
          <w:b/>
          <w:color w:val="000000"/>
          <w:sz w:val="24"/>
          <w:szCs w:val="24"/>
        </w:rPr>
        <w:t xml:space="preserve">artículo 343 </w:t>
      </w:r>
      <w:r>
        <w:rPr>
          <w:rFonts w:ascii="Times New Roman" w:eastAsia="Times New Roman" w:hAnsi="Times New Roman" w:cs="Times New Roman"/>
          <w:color w:val="000000"/>
          <w:sz w:val="24"/>
          <w:szCs w:val="24"/>
        </w:rPr>
        <w:t>del N.C.P.P. 2004, que señaló:</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Artículo 343.- Control de </w:t>
      </w:r>
      <w:proofErr w:type="gramStart"/>
      <w:r>
        <w:rPr>
          <w:rFonts w:ascii="Times New Roman" w:eastAsia="Times New Roman" w:hAnsi="Times New Roman" w:cs="Times New Roman"/>
          <w:b/>
          <w:color w:val="000000"/>
          <w:sz w:val="24"/>
          <w:szCs w:val="24"/>
        </w:rPr>
        <w:t>Plazo.-</w:t>
      </w:r>
      <w:proofErr w:type="gramEnd"/>
    </w:p>
    <w:p w:rsidR="009609BF" w:rsidRDefault="009609BF">
      <w:pPr>
        <w:spacing w:after="0" w:line="276" w:lineRule="auto"/>
        <w:jc w:val="both"/>
        <w:rPr>
          <w:rFonts w:ascii="Times New Roman" w:eastAsia="Times New Roman" w:hAnsi="Times New Roman" w:cs="Times New Roman"/>
          <w:b/>
          <w:color w:val="000000"/>
          <w:sz w:val="8"/>
          <w:szCs w:val="8"/>
        </w:rPr>
      </w:pPr>
    </w:p>
    <w:p w:rsidR="009609BF" w:rsidRDefault="0066183D">
      <w:pPr>
        <w:numPr>
          <w:ilvl w:val="0"/>
          <w:numId w:val="14"/>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El </w:t>
      </w:r>
      <w:r>
        <w:rPr>
          <w:rFonts w:ascii="Times New Roman" w:eastAsia="Times New Roman" w:hAnsi="Times New Roman" w:cs="Times New Roman"/>
          <w:b/>
          <w:color w:val="000000"/>
          <w:sz w:val="24"/>
          <w:szCs w:val="24"/>
        </w:rPr>
        <w:t>Fiscal dará por concluida la Investigación Preparatoria cuando considere que ha cumplido con su objeto, aun cuando no hubiere vencido el plazo.</w:t>
      </w:r>
    </w:p>
    <w:p w:rsidR="009609BF" w:rsidRDefault="009609BF">
      <w:pPr>
        <w:pBdr>
          <w:top w:val="nil"/>
          <w:left w:val="nil"/>
          <w:bottom w:val="nil"/>
          <w:right w:val="nil"/>
          <w:between w:val="nil"/>
        </w:pBdr>
        <w:spacing w:after="0" w:line="276" w:lineRule="auto"/>
        <w:ind w:left="1131" w:hanging="720"/>
        <w:jc w:val="both"/>
        <w:rPr>
          <w:rFonts w:ascii="Times New Roman" w:eastAsia="Times New Roman" w:hAnsi="Times New Roman" w:cs="Times New Roman"/>
          <w:color w:val="000000"/>
          <w:sz w:val="8"/>
          <w:szCs w:val="8"/>
        </w:rPr>
      </w:pPr>
    </w:p>
    <w:p w:rsidR="009609BF" w:rsidRDefault="0066183D">
      <w:pPr>
        <w:numPr>
          <w:ilvl w:val="0"/>
          <w:numId w:val="14"/>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vencidos los plazos previstos en el artículo anterior </w:t>
      </w:r>
      <w:r>
        <w:rPr>
          <w:rFonts w:ascii="Times New Roman" w:eastAsia="Times New Roman" w:hAnsi="Times New Roman" w:cs="Times New Roman"/>
          <w:b/>
          <w:color w:val="000000"/>
          <w:sz w:val="24"/>
          <w:szCs w:val="24"/>
        </w:rPr>
        <w:t xml:space="preserve">el Fiscal no dé por concluida la Investigación Preparatoria, las partes pueden solicitar su conclusión al Juez de la Investigación Preparatoria. </w:t>
      </w:r>
      <w:r>
        <w:rPr>
          <w:rFonts w:ascii="Times New Roman" w:eastAsia="Times New Roman" w:hAnsi="Times New Roman" w:cs="Times New Roman"/>
          <w:color w:val="000000"/>
          <w:sz w:val="24"/>
          <w:szCs w:val="24"/>
        </w:rPr>
        <w:t>Para estos efectos el Juez citará al Fiscal y a las demás partes a una audiencia de control del plazo, quien luego de revisar las actuaciones y escuchar a las partes, dictará la resolución que corresponda.</w:t>
      </w:r>
    </w:p>
    <w:p w:rsidR="009609BF" w:rsidRDefault="009609BF">
      <w:pPr>
        <w:pBdr>
          <w:top w:val="nil"/>
          <w:left w:val="nil"/>
          <w:bottom w:val="nil"/>
          <w:right w:val="nil"/>
          <w:between w:val="nil"/>
        </w:pBdr>
        <w:spacing w:after="0" w:line="276" w:lineRule="auto"/>
        <w:ind w:left="1131" w:hanging="720"/>
        <w:jc w:val="both"/>
        <w:rPr>
          <w:rFonts w:ascii="Times New Roman" w:eastAsia="Times New Roman" w:hAnsi="Times New Roman" w:cs="Times New Roman"/>
          <w:color w:val="000000"/>
          <w:sz w:val="8"/>
          <w:szCs w:val="8"/>
        </w:rPr>
      </w:pPr>
    </w:p>
    <w:p w:rsidR="009609BF" w:rsidRDefault="0066183D">
      <w:pPr>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ab/>
        <w:t xml:space="preserve">Si el Juez ordena la conclusión de la Investigación Preparatoria, </w:t>
      </w:r>
      <w:r>
        <w:rPr>
          <w:rFonts w:ascii="Times New Roman" w:eastAsia="Times New Roman" w:hAnsi="Times New Roman" w:cs="Times New Roman"/>
          <w:b/>
          <w:color w:val="000000"/>
          <w:sz w:val="24"/>
          <w:szCs w:val="24"/>
        </w:rPr>
        <w:t>el Fiscal en el plazo de diez días debe pronunciarse solicitando el sobreseimiento o formulando acusación, según corresponda.</w:t>
      </w:r>
      <w:r>
        <w:rPr>
          <w:rFonts w:ascii="Times New Roman" w:eastAsia="Times New Roman" w:hAnsi="Times New Roman" w:cs="Times New Roman"/>
          <w:color w:val="000000"/>
          <w:sz w:val="24"/>
          <w:szCs w:val="24"/>
        </w:rPr>
        <w:t xml:space="preserve"> Su incumplimiento acarrea responsabilidad disciplinaria en el Fiscal. (Nuevo Código Procesal Penal, 2004). </w:t>
      </w:r>
    </w:p>
    <w:p w:rsidR="009609BF" w:rsidRDefault="009609BF">
      <w:pPr>
        <w:spacing w:after="0" w:line="276" w:lineRule="auto"/>
        <w:jc w:val="both"/>
        <w:rPr>
          <w:rFonts w:ascii="Times New Roman" w:eastAsia="Times New Roman" w:hAnsi="Times New Roman" w:cs="Times New Roman"/>
          <w:b/>
          <w:color w:val="000000"/>
          <w:sz w:val="28"/>
          <w:szCs w:val="28"/>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disposición de Conclusión de la Investigación Preparatoria será emitida por el Fiscal cuando este considere que la misma cumplió su objeto, es decir, se logró el esclarecimiento de los hechos, es necesario recalcar que hasta ese momento el Fiscal actuó como director de la investigación, bajo el denominado Principio de Objetividad, en mérito al cual durante el desarrollo de la investigación recabó elementos de cargo y descargo -incluso cuando quienes hayan tenido la condición de investigados en virtud de su Derecho a la Defensa, no los hubieran postulado-. Asimismo, el </w:t>
      </w:r>
      <w:r>
        <w:rPr>
          <w:rFonts w:ascii="Times New Roman" w:eastAsia="Times New Roman" w:hAnsi="Times New Roman" w:cs="Times New Roman"/>
          <w:b/>
          <w:color w:val="000000"/>
          <w:sz w:val="24"/>
          <w:szCs w:val="24"/>
        </w:rPr>
        <w:t>inciso 1</w:t>
      </w:r>
      <w:r>
        <w:rPr>
          <w:rFonts w:ascii="Times New Roman" w:eastAsia="Times New Roman" w:hAnsi="Times New Roman" w:cs="Times New Roman"/>
          <w:color w:val="000000"/>
          <w:sz w:val="24"/>
          <w:szCs w:val="24"/>
        </w:rPr>
        <w:t xml:space="preserve"> del </w:t>
      </w:r>
      <w:r>
        <w:rPr>
          <w:rFonts w:ascii="Times New Roman" w:eastAsia="Times New Roman" w:hAnsi="Times New Roman" w:cs="Times New Roman"/>
          <w:b/>
          <w:color w:val="000000"/>
          <w:sz w:val="24"/>
          <w:szCs w:val="24"/>
        </w:rPr>
        <w:t xml:space="preserve">artículo 344 </w:t>
      </w:r>
      <w:r>
        <w:rPr>
          <w:rFonts w:ascii="Times New Roman" w:eastAsia="Times New Roman" w:hAnsi="Times New Roman" w:cs="Times New Roman"/>
          <w:color w:val="000000"/>
          <w:sz w:val="24"/>
          <w:szCs w:val="24"/>
        </w:rPr>
        <w:t xml:space="preserve">del cuerpo normativo antes referido, regula las acciones que podrá adoptar el Fiscal luego de la revisión minuciosa de la información recabada, conforme preciso a continuación: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Artículo 344.- Decisión del Ministerio </w:t>
      </w:r>
      <w:proofErr w:type="gramStart"/>
      <w:r>
        <w:rPr>
          <w:rFonts w:ascii="Times New Roman" w:eastAsia="Times New Roman" w:hAnsi="Times New Roman" w:cs="Times New Roman"/>
          <w:b/>
          <w:color w:val="000000"/>
          <w:sz w:val="24"/>
          <w:szCs w:val="24"/>
        </w:rPr>
        <w:t>Público.-</w:t>
      </w:r>
      <w:proofErr w:type="gramEnd"/>
      <w:r>
        <w:rPr>
          <w:rFonts w:ascii="Times New Roman" w:eastAsia="Times New Roman" w:hAnsi="Times New Roman" w:cs="Times New Roman"/>
          <w:b/>
          <w:color w:val="000000"/>
          <w:sz w:val="24"/>
          <w:szCs w:val="24"/>
        </w:rPr>
        <w:t xml:space="preserve">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8"/>
          <w:szCs w:val="8"/>
        </w:rPr>
      </w:pPr>
    </w:p>
    <w:p w:rsidR="009609BF" w:rsidRDefault="0066183D">
      <w:pPr>
        <w:numPr>
          <w:ilvl w:val="0"/>
          <w:numId w:val="8"/>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Dispuesta la conclusión de la Investigación Preparatoria, de conformidad con el numeral 1) del artículo 343, el Fiscal decidirá en el plazo de quince días si formula acusación, siempre que exista base suficiente para ello, o si requiere el sobreseimiento de la causa. En casos complejos y de criminalidad organizada, el Fiscal decide en el plazo de treinta días, bajo responsabilidad (Nuevo Código Procesal Penal, 2004).</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ha quedado evidenciado desde la emisión de la disposición que concluye la investigación preparatoria, sin que medie control de plazos el Fiscal tendrá quince días en casos simples para emitir la Acusación Fiscal – en adelante A.F.- o Requerimiento Acusatorio -en adelante R.A.-, o Requerimiento de Sobreseimiento, o en su defecto un Requerimiento Mixto; en casos complejos o de crimen organizado, este  plazo se duplicará a treinta días, con la presentación del escrito de A.F. o R.A., se da inicio a la primera fase de la E.I., la cual es escrita; considero necesario resaltar esto, puesto que en </w:t>
      </w:r>
      <w:r>
        <w:rPr>
          <w:rFonts w:ascii="Times New Roman" w:eastAsia="Times New Roman" w:hAnsi="Times New Roman" w:cs="Times New Roman"/>
          <w:color w:val="000000"/>
          <w:sz w:val="24"/>
          <w:szCs w:val="24"/>
        </w:rPr>
        <w:lastRenderedPageBreak/>
        <w:t xml:space="preserve">el desarrollo del presente artículo analizaré la trascendencia de la formulación de la A.F. o R.A., en el proceso penal. </w:t>
      </w:r>
    </w:p>
    <w:p w:rsidR="009609BF" w:rsidRDefault="009609BF">
      <w:pPr>
        <w:tabs>
          <w:tab w:val="left" w:pos="567"/>
        </w:tabs>
        <w:spacing w:after="0" w:line="276" w:lineRule="auto"/>
        <w:ind w:firstLine="567"/>
        <w:jc w:val="both"/>
        <w:rPr>
          <w:rFonts w:ascii="Times New Roman" w:eastAsia="Times New Roman" w:hAnsi="Times New Roman" w:cs="Times New Roman"/>
          <w:color w:val="FF0000"/>
          <w:sz w:val="24"/>
          <w:szCs w:val="24"/>
          <w:highlight w:val="yellow"/>
        </w:rPr>
      </w:pPr>
    </w:p>
    <w:p w:rsidR="009609BF" w:rsidRDefault="009609BF">
      <w:pPr>
        <w:tabs>
          <w:tab w:val="left" w:pos="567"/>
        </w:tabs>
        <w:spacing w:after="0" w:line="276" w:lineRule="auto"/>
        <w:ind w:firstLine="567"/>
        <w:jc w:val="both"/>
        <w:rPr>
          <w:rFonts w:ascii="Times New Roman" w:eastAsia="Times New Roman" w:hAnsi="Times New Roman" w:cs="Times New Roman"/>
          <w:color w:val="FF0000"/>
          <w:sz w:val="24"/>
          <w:szCs w:val="24"/>
          <w:highlight w:val="yellow"/>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3.1. La Acusación Fiscal o Requerimiento </w:t>
      </w:r>
      <w:proofErr w:type="gramStart"/>
      <w:r>
        <w:rPr>
          <w:rFonts w:ascii="Times New Roman" w:eastAsia="Times New Roman" w:hAnsi="Times New Roman" w:cs="Times New Roman"/>
          <w:b/>
          <w:color w:val="000000"/>
          <w:sz w:val="28"/>
          <w:szCs w:val="28"/>
        </w:rPr>
        <w:t>Acusatorio.-</w:t>
      </w:r>
      <w:proofErr w:type="gramEnd"/>
      <w:r>
        <w:rPr>
          <w:rFonts w:ascii="Times New Roman" w:eastAsia="Times New Roman" w:hAnsi="Times New Roman" w:cs="Times New Roman"/>
          <w:b/>
          <w:color w:val="000000"/>
          <w:sz w:val="28"/>
          <w:szCs w:val="28"/>
        </w:rPr>
        <w:t xml:space="preserve">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señalé en los párrafos precedentes, el N.C.P.P. 2004 instaura un sistema de corte acusatorio con rasgos adversariales, lo que se refleja con claridad con la formulación de la A.F. o R.A., que de acuerdo con lo prescrito por el </w:t>
      </w:r>
      <w:r>
        <w:rPr>
          <w:rFonts w:ascii="Times New Roman" w:eastAsia="Times New Roman" w:hAnsi="Times New Roman" w:cs="Times New Roman"/>
          <w:b/>
          <w:color w:val="000000"/>
          <w:sz w:val="24"/>
          <w:szCs w:val="24"/>
        </w:rPr>
        <w:t>artículo 349</w:t>
      </w:r>
      <w:r>
        <w:rPr>
          <w:rFonts w:ascii="Times New Roman" w:eastAsia="Times New Roman" w:hAnsi="Times New Roman" w:cs="Times New Roman"/>
          <w:color w:val="000000"/>
          <w:sz w:val="24"/>
          <w:szCs w:val="24"/>
        </w:rPr>
        <w:t xml:space="preserve"> del cuerpo normativo antes mencionado, deberá contener lo siguiente: </w:t>
      </w:r>
    </w:p>
    <w:p w:rsidR="009609BF" w:rsidRDefault="009609BF">
      <w:pPr>
        <w:tabs>
          <w:tab w:val="left" w:pos="567"/>
        </w:tabs>
        <w:spacing w:after="0" w:line="276" w:lineRule="auto"/>
        <w:ind w:firstLine="567"/>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Artículo 349.- Contenido.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8"/>
          <w:szCs w:val="8"/>
        </w:rPr>
      </w:pPr>
    </w:p>
    <w:p w:rsidR="009609BF" w:rsidRDefault="0066183D">
      <w:pPr>
        <w:numPr>
          <w:ilvl w:val="0"/>
          <w:numId w:val="3"/>
        </w:numPr>
        <w:pBdr>
          <w:top w:val="nil"/>
          <w:left w:val="nil"/>
          <w:bottom w:val="nil"/>
          <w:right w:val="nil"/>
          <w:between w:val="nil"/>
        </w:pBdr>
        <w:tabs>
          <w:tab w:val="left" w:pos="567"/>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acusación fiscal será debidamente motivada, y contendrá:</w:t>
      </w:r>
    </w:p>
    <w:p w:rsidR="009609BF" w:rsidRDefault="009609BF">
      <w:pPr>
        <w:pBdr>
          <w:top w:val="nil"/>
          <w:left w:val="nil"/>
          <w:bottom w:val="nil"/>
          <w:right w:val="nil"/>
          <w:between w:val="nil"/>
        </w:pBdr>
        <w:tabs>
          <w:tab w:val="left" w:pos="567"/>
        </w:tabs>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9"/>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datos que sirvan para identificar al imputado, de conformidad con los previsto en el numeral 1 del artículo 88;</w:t>
      </w:r>
    </w:p>
    <w:p w:rsidR="009609BF" w:rsidRDefault="009609BF">
      <w:pPr>
        <w:pBdr>
          <w:top w:val="nil"/>
          <w:left w:val="nil"/>
          <w:bottom w:val="nil"/>
          <w:right w:val="nil"/>
          <w:between w:val="nil"/>
        </w:pBdr>
        <w:tabs>
          <w:tab w:val="left" w:pos="567"/>
        </w:tabs>
        <w:spacing w:after="0" w:line="276" w:lineRule="auto"/>
        <w:ind w:left="1494" w:hanging="720"/>
        <w:jc w:val="both"/>
        <w:rPr>
          <w:rFonts w:ascii="Times New Roman" w:eastAsia="Times New Roman" w:hAnsi="Times New Roman" w:cs="Times New Roman"/>
          <w:color w:val="000000"/>
          <w:sz w:val="8"/>
          <w:szCs w:val="8"/>
        </w:rPr>
      </w:pPr>
    </w:p>
    <w:p w:rsidR="009609BF" w:rsidRDefault="0066183D">
      <w:pPr>
        <w:numPr>
          <w:ilvl w:val="0"/>
          <w:numId w:val="9"/>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relación clara y precisa del hecho que se atribuye al imputado, con sus circunstancias precedentes, concomitantes y posteriores. En caso de contener varios hechos independientes, la separación y el detalle de cada uno de ellos;</w:t>
      </w:r>
    </w:p>
    <w:p w:rsidR="009609BF" w:rsidRDefault="009609BF">
      <w:pPr>
        <w:pBdr>
          <w:top w:val="nil"/>
          <w:left w:val="nil"/>
          <w:bottom w:val="nil"/>
          <w:right w:val="nil"/>
          <w:between w:val="nil"/>
        </w:pBdr>
        <w:tabs>
          <w:tab w:val="left" w:pos="567"/>
        </w:tabs>
        <w:spacing w:after="0" w:line="276" w:lineRule="auto"/>
        <w:ind w:left="1494" w:hanging="720"/>
        <w:jc w:val="both"/>
        <w:rPr>
          <w:rFonts w:ascii="Times New Roman" w:eastAsia="Times New Roman" w:hAnsi="Times New Roman" w:cs="Times New Roman"/>
          <w:color w:val="000000"/>
          <w:sz w:val="8"/>
          <w:szCs w:val="8"/>
        </w:rPr>
      </w:pPr>
    </w:p>
    <w:p w:rsidR="009609BF" w:rsidRDefault="0066183D">
      <w:pPr>
        <w:numPr>
          <w:ilvl w:val="0"/>
          <w:numId w:val="9"/>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elementos de convicción que fundamenten el requerimiento acusatorio;</w:t>
      </w:r>
    </w:p>
    <w:p w:rsidR="009609BF" w:rsidRDefault="009609BF">
      <w:pPr>
        <w:pBdr>
          <w:top w:val="nil"/>
          <w:left w:val="nil"/>
          <w:bottom w:val="nil"/>
          <w:right w:val="nil"/>
          <w:between w:val="nil"/>
        </w:pBdr>
        <w:tabs>
          <w:tab w:val="left" w:pos="567"/>
        </w:tabs>
        <w:spacing w:after="0" w:line="276" w:lineRule="auto"/>
        <w:ind w:left="1494" w:hanging="720"/>
        <w:jc w:val="both"/>
        <w:rPr>
          <w:rFonts w:ascii="Times New Roman" w:eastAsia="Times New Roman" w:hAnsi="Times New Roman" w:cs="Times New Roman"/>
          <w:color w:val="000000"/>
          <w:sz w:val="8"/>
          <w:szCs w:val="8"/>
        </w:rPr>
      </w:pPr>
    </w:p>
    <w:p w:rsidR="009609BF" w:rsidRDefault="0066183D">
      <w:pPr>
        <w:numPr>
          <w:ilvl w:val="0"/>
          <w:numId w:val="9"/>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participación que se atribuya al imputado;</w:t>
      </w:r>
    </w:p>
    <w:p w:rsidR="009609BF" w:rsidRDefault="009609BF">
      <w:pPr>
        <w:pBdr>
          <w:top w:val="nil"/>
          <w:left w:val="nil"/>
          <w:bottom w:val="nil"/>
          <w:right w:val="nil"/>
          <w:between w:val="nil"/>
        </w:pBdr>
        <w:tabs>
          <w:tab w:val="left" w:pos="567"/>
        </w:tabs>
        <w:spacing w:after="0" w:line="276" w:lineRule="auto"/>
        <w:ind w:left="1494" w:hanging="720"/>
        <w:jc w:val="both"/>
        <w:rPr>
          <w:rFonts w:ascii="Times New Roman" w:eastAsia="Times New Roman" w:hAnsi="Times New Roman" w:cs="Times New Roman"/>
          <w:color w:val="000000"/>
          <w:sz w:val="8"/>
          <w:szCs w:val="8"/>
        </w:rPr>
      </w:pPr>
    </w:p>
    <w:p w:rsidR="009609BF" w:rsidRDefault="0066183D">
      <w:pPr>
        <w:numPr>
          <w:ilvl w:val="0"/>
          <w:numId w:val="9"/>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relación de las circunstancias modificatorias de la responsabilidad penal que concurran;</w:t>
      </w:r>
    </w:p>
    <w:p w:rsidR="009609BF" w:rsidRDefault="009609BF">
      <w:pPr>
        <w:pBdr>
          <w:top w:val="nil"/>
          <w:left w:val="nil"/>
          <w:bottom w:val="nil"/>
          <w:right w:val="nil"/>
          <w:between w:val="nil"/>
        </w:pBdr>
        <w:tabs>
          <w:tab w:val="left" w:pos="567"/>
        </w:tabs>
        <w:spacing w:after="0" w:line="276" w:lineRule="auto"/>
        <w:ind w:left="1494" w:hanging="720"/>
        <w:jc w:val="both"/>
        <w:rPr>
          <w:rFonts w:ascii="Times New Roman" w:eastAsia="Times New Roman" w:hAnsi="Times New Roman" w:cs="Times New Roman"/>
          <w:color w:val="000000"/>
          <w:sz w:val="8"/>
          <w:szCs w:val="8"/>
        </w:rPr>
      </w:pPr>
    </w:p>
    <w:p w:rsidR="009609BF" w:rsidRDefault="0066183D">
      <w:pPr>
        <w:numPr>
          <w:ilvl w:val="0"/>
          <w:numId w:val="9"/>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artículo de la Ley penal que tipifique el hecho, la cuantía de la pena que se solicite y las consecuencias accesorias;</w:t>
      </w:r>
    </w:p>
    <w:p w:rsidR="009609BF" w:rsidRDefault="009609BF">
      <w:pPr>
        <w:pBdr>
          <w:top w:val="nil"/>
          <w:left w:val="nil"/>
          <w:bottom w:val="nil"/>
          <w:right w:val="nil"/>
          <w:between w:val="nil"/>
        </w:pBdr>
        <w:tabs>
          <w:tab w:val="left" w:pos="567"/>
        </w:tabs>
        <w:spacing w:after="0" w:line="276" w:lineRule="auto"/>
        <w:ind w:left="1494" w:hanging="720"/>
        <w:jc w:val="both"/>
        <w:rPr>
          <w:rFonts w:ascii="Times New Roman" w:eastAsia="Times New Roman" w:hAnsi="Times New Roman" w:cs="Times New Roman"/>
          <w:color w:val="000000"/>
          <w:sz w:val="8"/>
          <w:szCs w:val="8"/>
        </w:rPr>
      </w:pPr>
    </w:p>
    <w:p w:rsidR="009609BF" w:rsidRDefault="0066183D">
      <w:pPr>
        <w:numPr>
          <w:ilvl w:val="0"/>
          <w:numId w:val="9"/>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monto de la reparación civil, los bienes embargados o incautados al acusado, o tercero civil, que garantizan su pago, y la persona a quien corresponda percibirlo; y</w:t>
      </w:r>
    </w:p>
    <w:p w:rsidR="009609BF" w:rsidRDefault="009609BF">
      <w:pPr>
        <w:pBdr>
          <w:top w:val="nil"/>
          <w:left w:val="nil"/>
          <w:bottom w:val="nil"/>
          <w:right w:val="nil"/>
          <w:between w:val="nil"/>
        </w:pBdr>
        <w:tabs>
          <w:tab w:val="left" w:pos="567"/>
        </w:tabs>
        <w:spacing w:after="0" w:line="276" w:lineRule="auto"/>
        <w:ind w:left="1494" w:hanging="720"/>
        <w:jc w:val="both"/>
        <w:rPr>
          <w:rFonts w:ascii="Times New Roman" w:eastAsia="Times New Roman" w:hAnsi="Times New Roman" w:cs="Times New Roman"/>
          <w:color w:val="000000"/>
          <w:sz w:val="8"/>
          <w:szCs w:val="8"/>
        </w:rPr>
      </w:pPr>
    </w:p>
    <w:p w:rsidR="009609BF" w:rsidRDefault="0066183D">
      <w:pPr>
        <w:numPr>
          <w:ilvl w:val="0"/>
          <w:numId w:val="9"/>
        </w:numPr>
        <w:pBdr>
          <w:top w:val="nil"/>
          <w:left w:val="nil"/>
          <w:bottom w:val="nil"/>
          <w:right w:val="nil"/>
          <w:between w:val="nil"/>
        </w:pBdr>
        <w:tabs>
          <w:tab w:val="left" w:pos="567"/>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medios de prueba que ofrezca para su actuación en la audiencia. En este caso presentará la lista de testigos y peritos, con indicación del nombre y domicilio; y de los puntos sobre los que habrán de recaer sus declaraciones o exposiciones. Asimismo, hará una reseña de los demás medios de prueba que ofrezca.</w:t>
      </w:r>
    </w:p>
    <w:p w:rsidR="009609BF" w:rsidRDefault="009609BF">
      <w:pPr>
        <w:tabs>
          <w:tab w:val="left" w:pos="567"/>
        </w:tabs>
        <w:spacing w:after="0" w:line="276" w:lineRule="auto"/>
        <w:ind w:left="1134" w:hanging="567"/>
        <w:jc w:val="both"/>
        <w:rPr>
          <w:rFonts w:ascii="Times New Roman" w:eastAsia="Times New Roman" w:hAnsi="Times New Roman" w:cs="Times New Roman"/>
          <w:color w:val="000000"/>
          <w:sz w:val="8"/>
          <w:szCs w:val="8"/>
        </w:rPr>
      </w:pPr>
    </w:p>
    <w:p w:rsidR="009609BF" w:rsidRDefault="0066183D">
      <w:pPr>
        <w:numPr>
          <w:ilvl w:val="0"/>
          <w:numId w:val="3"/>
        </w:numPr>
        <w:pBdr>
          <w:top w:val="nil"/>
          <w:left w:val="nil"/>
          <w:bottom w:val="nil"/>
          <w:right w:val="nil"/>
          <w:between w:val="nil"/>
        </w:pBdr>
        <w:tabs>
          <w:tab w:val="left" w:pos="567"/>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acusación solo puede referirse a hechos y personas incluidos en la Disposición de formalización de la Investigación Preparatoria, aunque se efectúe una distinta calificación jurídica. </w:t>
      </w:r>
    </w:p>
    <w:p w:rsidR="009609BF" w:rsidRDefault="009609BF">
      <w:pPr>
        <w:pBdr>
          <w:top w:val="nil"/>
          <w:left w:val="nil"/>
          <w:bottom w:val="nil"/>
          <w:right w:val="nil"/>
          <w:between w:val="nil"/>
        </w:pBdr>
        <w:tabs>
          <w:tab w:val="left" w:pos="567"/>
        </w:tabs>
        <w:spacing w:after="0" w:line="276" w:lineRule="auto"/>
        <w:ind w:left="1134" w:hanging="567"/>
        <w:jc w:val="both"/>
        <w:rPr>
          <w:rFonts w:ascii="Times New Roman" w:eastAsia="Times New Roman" w:hAnsi="Times New Roman" w:cs="Times New Roman"/>
          <w:color w:val="000000"/>
          <w:sz w:val="8"/>
          <w:szCs w:val="8"/>
        </w:rPr>
      </w:pPr>
    </w:p>
    <w:p w:rsidR="009609BF" w:rsidRDefault="0066183D">
      <w:pPr>
        <w:numPr>
          <w:ilvl w:val="0"/>
          <w:numId w:val="3"/>
        </w:numPr>
        <w:pBdr>
          <w:top w:val="nil"/>
          <w:left w:val="nil"/>
          <w:bottom w:val="nil"/>
          <w:right w:val="nil"/>
          <w:between w:val="nil"/>
        </w:pBdr>
        <w:tabs>
          <w:tab w:val="left" w:pos="567"/>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acusación, el Ministerio Público, podrá señalar, alternativa o subsidiariamente, las circunstancias de hecho que permitan la conducta del </w:t>
      </w:r>
      <w:r>
        <w:rPr>
          <w:rFonts w:ascii="Times New Roman" w:eastAsia="Times New Roman" w:hAnsi="Times New Roman" w:cs="Times New Roman"/>
          <w:color w:val="000000"/>
          <w:sz w:val="24"/>
          <w:szCs w:val="24"/>
        </w:rPr>
        <w:lastRenderedPageBreak/>
        <w:t xml:space="preserve">imputado o en tipo penal distinto, para el caso de que no resultaren demostrados en el debate los elementos que componen su calificación jurídica principal, a fin de posibilitar la defensa del imputado. </w:t>
      </w:r>
    </w:p>
    <w:p w:rsidR="009609BF" w:rsidRDefault="009609BF">
      <w:pPr>
        <w:pBdr>
          <w:top w:val="nil"/>
          <w:left w:val="nil"/>
          <w:bottom w:val="nil"/>
          <w:right w:val="nil"/>
          <w:between w:val="nil"/>
        </w:pBdr>
        <w:tabs>
          <w:tab w:val="left" w:pos="567"/>
        </w:tabs>
        <w:spacing w:after="0" w:line="276" w:lineRule="auto"/>
        <w:ind w:left="1134" w:hanging="567"/>
        <w:jc w:val="both"/>
        <w:rPr>
          <w:rFonts w:ascii="Times New Roman" w:eastAsia="Times New Roman" w:hAnsi="Times New Roman" w:cs="Times New Roman"/>
          <w:color w:val="000000"/>
          <w:sz w:val="8"/>
          <w:szCs w:val="8"/>
        </w:rPr>
      </w:pPr>
    </w:p>
    <w:p w:rsidR="009609BF" w:rsidRDefault="0066183D">
      <w:pPr>
        <w:numPr>
          <w:ilvl w:val="0"/>
          <w:numId w:val="3"/>
        </w:numPr>
        <w:pBdr>
          <w:top w:val="nil"/>
          <w:left w:val="nil"/>
          <w:bottom w:val="nil"/>
          <w:right w:val="nil"/>
          <w:between w:val="nil"/>
        </w:pBdr>
        <w:tabs>
          <w:tab w:val="left" w:pos="567"/>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Fiscal indicará en la acusación las medidas de coerción subsistente dictadas durante la Investigación Preparatoria; y, en su caso, podrá solicitar su variación o que se dicten otras según corresponda. (Nuevo Código Procesal Penal, 2004). </w:t>
      </w:r>
    </w:p>
    <w:p w:rsidR="009609BF" w:rsidRDefault="009609BF">
      <w:pPr>
        <w:tabs>
          <w:tab w:val="left" w:pos="567"/>
        </w:tabs>
        <w:spacing w:after="0" w:line="276" w:lineRule="auto"/>
        <w:ind w:firstLine="567"/>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A.F. o R.A. como acertadamente señala el profesor Sánchez Velarde “constituye  uno  de  los  actos  procesales propios  del  Ministerio  Público,  en  donde  este ejerce a  plenitud  su  función acusadora  formulando  ante  el  órgano  jurisdiccional cargos y otros, convirtiéndose en  parte  en sentido estricto” (2009, p. 159); ahora bien, los cargos se plasmarán de forma detalladas en el escrito de A.F. o R.A., a través del cual el Fiscal hará de conocimiento de los sujetos procesales su postura sobre los hechos que fueron objeto de investigación, la importancia de la formulación de la A.F. o R.A. que se presenta por escrito ante el órgano judicial, como precisa el profesor San Martin Castro “es fijar el marco de la discusión que se realizará verbalmente en audiencia” (2015, p. 372),  conforme señalé antes, esto constituye la primera fase de la  E.I., la cual eminentemente es escrita y más importante de lo que parece para muchos tratadistas, quienes constantemente hacen referencia a la oralidad y su importancia -como si nuestro sistema procesal fuera puramente oral y no mixto, como es en realidad-. </w:t>
      </w:r>
    </w:p>
    <w:p w:rsidR="009609BF" w:rsidRDefault="009609BF">
      <w:pPr>
        <w:tabs>
          <w:tab w:val="left" w:pos="567"/>
        </w:tabs>
        <w:spacing w:after="0" w:line="276" w:lineRule="auto"/>
        <w:ind w:firstLine="567"/>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formulación de la A.F. o R.A., no constituye una mera formalidad, es decir, no se trata de presentar un simple escrito para transitar a la fase oral de la E.I., sino por el contrario este deberá de cumplir con las exigencias detalladas en el </w:t>
      </w:r>
      <w:r>
        <w:rPr>
          <w:rFonts w:ascii="Times New Roman" w:eastAsia="Times New Roman" w:hAnsi="Times New Roman" w:cs="Times New Roman"/>
          <w:b/>
          <w:color w:val="000000"/>
          <w:sz w:val="24"/>
          <w:szCs w:val="24"/>
        </w:rPr>
        <w:t>artículo 349°</w:t>
      </w:r>
      <w:r>
        <w:rPr>
          <w:rFonts w:ascii="Times New Roman" w:eastAsia="Times New Roman" w:hAnsi="Times New Roman" w:cs="Times New Roman"/>
          <w:color w:val="000000"/>
          <w:sz w:val="24"/>
          <w:szCs w:val="24"/>
        </w:rPr>
        <w:t xml:space="preserve"> del cuerpo legal antes referido, de lo contrario como podría este delimitar lo que será objeto de discusión en la fase oral, al parecer algunos pretenden desconocer como señalé antes que los contornos del debate serán establecidos en la fase escrita. Luego de formulada la A.F. o R.A. ante el órgano judicial, este correrá traslado a los sujetos procesales de conformidad con lo establecido en el artículo 350° del NCPP, que precisa: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ind w:left="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Artículo 350</w:t>
      </w:r>
      <w:proofErr w:type="gramStart"/>
      <w:r>
        <w:rPr>
          <w:rFonts w:ascii="Times New Roman" w:eastAsia="Times New Roman" w:hAnsi="Times New Roman" w:cs="Times New Roman"/>
          <w:b/>
          <w:color w:val="000000"/>
          <w:sz w:val="24"/>
          <w:szCs w:val="24"/>
        </w:rPr>
        <w:t>°.-</w:t>
      </w:r>
      <w:proofErr w:type="gramEnd"/>
      <w:r>
        <w:rPr>
          <w:rFonts w:ascii="Times New Roman" w:eastAsia="Times New Roman" w:hAnsi="Times New Roman" w:cs="Times New Roman"/>
          <w:b/>
          <w:color w:val="000000"/>
          <w:sz w:val="24"/>
          <w:szCs w:val="24"/>
        </w:rPr>
        <w:t xml:space="preserve"> Notificación de la acusación y objeción de los demás sujetos procesales.-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8"/>
          <w:szCs w:val="8"/>
        </w:rPr>
      </w:pPr>
    </w:p>
    <w:p w:rsidR="009609BF" w:rsidRDefault="0066183D">
      <w:pPr>
        <w:numPr>
          <w:ilvl w:val="0"/>
          <w:numId w:val="4"/>
        </w:numPr>
        <w:pBdr>
          <w:top w:val="nil"/>
          <w:left w:val="nil"/>
          <w:bottom w:val="nil"/>
          <w:right w:val="nil"/>
          <w:between w:val="nil"/>
        </w:pBdr>
        <w:tabs>
          <w:tab w:val="left" w:pos="567"/>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acusación será </w:t>
      </w:r>
      <w:r>
        <w:rPr>
          <w:rFonts w:ascii="Times New Roman" w:eastAsia="Times New Roman" w:hAnsi="Times New Roman" w:cs="Times New Roman"/>
          <w:b/>
          <w:color w:val="000000"/>
          <w:sz w:val="24"/>
          <w:szCs w:val="24"/>
        </w:rPr>
        <w:t>notificada</w:t>
      </w:r>
      <w:r>
        <w:rPr>
          <w:rFonts w:ascii="Times New Roman" w:eastAsia="Times New Roman" w:hAnsi="Times New Roman" w:cs="Times New Roman"/>
          <w:color w:val="000000"/>
          <w:sz w:val="24"/>
          <w:szCs w:val="24"/>
        </w:rPr>
        <w:t xml:space="preserve"> a los demás sujetos procesales. En el plazo de diez días éstas podrán:</w:t>
      </w:r>
    </w:p>
    <w:p w:rsidR="009609BF" w:rsidRDefault="0066183D">
      <w:pPr>
        <w:pBdr>
          <w:top w:val="nil"/>
          <w:left w:val="nil"/>
          <w:bottom w:val="nil"/>
          <w:right w:val="nil"/>
          <w:between w:val="nil"/>
        </w:pBdr>
        <w:tabs>
          <w:tab w:val="left" w:pos="567"/>
        </w:tabs>
        <w:spacing w:after="0" w:line="276" w:lineRule="auto"/>
        <w:ind w:left="1134" w:hanging="720"/>
        <w:jc w:val="both"/>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24"/>
          <w:szCs w:val="24"/>
        </w:rPr>
        <w:t xml:space="preserve"> </w:t>
      </w:r>
    </w:p>
    <w:p w:rsidR="009609BF" w:rsidRDefault="0066183D">
      <w:pPr>
        <w:numPr>
          <w:ilvl w:val="0"/>
          <w:numId w:val="6"/>
        </w:numPr>
        <w:pBdr>
          <w:top w:val="nil"/>
          <w:left w:val="nil"/>
          <w:bottom w:val="nil"/>
          <w:right w:val="nil"/>
          <w:between w:val="nil"/>
        </w:pBdr>
        <w:tabs>
          <w:tab w:val="left" w:pos="567"/>
        </w:tabs>
        <w:spacing w:after="0" w:line="276" w:lineRule="auto"/>
        <w:ind w:left="1701"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Observar la acusación del Fiscal por defectos formales, requiriendo su corrección;</w:t>
      </w:r>
    </w:p>
    <w:p w:rsidR="009609BF" w:rsidRDefault="009609BF">
      <w:pPr>
        <w:pBdr>
          <w:top w:val="nil"/>
          <w:left w:val="nil"/>
          <w:bottom w:val="nil"/>
          <w:right w:val="nil"/>
          <w:between w:val="nil"/>
        </w:pBdr>
        <w:tabs>
          <w:tab w:val="left" w:pos="567"/>
        </w:tabs>
        <w:spacing w:after="0" w:line="276" w:lineRule="auto"/>
        <w:ind w:left="1701" w:hanging="720"/>
        <w:jc w:val="both"/>
        <w:rPr>
          <w:rFonts w:ascii="Times New Roman" w:eastAsia="Times New Roman" w:hAnsi="Times New Roman" w:cs="Times New Roman"/>
          <w:color w:val="000000"/>
          <w:sz w:val="8"/>
          <w:szCs w:val="8"/>
        </w:rPr>
      </w:pPr>
    </w:p>
    <w:p w:rsidR="009609BF" w:rsidRDefault="0066183D">
      <w:pPr>
        <w:numPr>
          <w:ilvl w:val="0"/>
          <w:numId w:val="6"/>
        </w:numPr>
        <w:pBdr>
          <w:top w:val="nil"/>
          <w:left w:val="nil"/>
          <w:bottom w:val="nil"/>
          <w:right w:val="nil"/>
          <w:between w:val="nil"/>
        </w:pBdr>
        <w:tabs>
          <w:tab w:val="left" w:pos="567"/>
        </w:tabs>
        <w:spacing w:after="0" w:line="276" w:lineRule="auto"/>
        <w:ind w:left="1701"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Deducir excepciones y otros medios de defensa, cuando no hayan sido planteadas con anterioridad o se funden en hechos nuevos; </w:t>
      </w:r>
    </w:p>
    <w:p w:rsidR="009609BF" w:rsidRDefault="009609BF">
      <w:pPr>
        <w:pBdr>
          <w:top w:val="nil"/>
          <w:left w:val="nil"/>
          <w:bottom w:val="nil"/>
          <w:right w:val="nil"/>
          <w:between w:val="nil"/>
        </w:pBdr>
        <w:tabs>
          <w:tab w:val="left" w:pos="567"/>
        </w:tabs>
        <w:spacing w:after="0" w:line="276" w:lineRule="auto"/>
        <w:ind w:left="1701" w:hanging="720"/>
        <w:jc w:val="both"/>
        <w:rPr>
          <w:rFonts w:ascii="Times New Roman" w:eastAsia="Times New Roman" w:hAnsi="Times New Roman" w:cs="Times New Roman"/>
          <w:color w:val="000000"/>
          <w:sz w:val="8"/>
          <w:szCs w:val="8"/>
        </w:rPr>
      </w:pPr>
    </w:p>
    <w:p w:rsidR="009609BF" w:rsidRDefault="0066183D">
      <w:pPr>
        <w:numPr>
          <w:ilvl w:val="0"/>
          <w:numId w:val="6"/>
        </w:numPr>
        <w:pBdr>
          <w:top w:val="nil"/>
          <w:left w:val="nil"/>
          <w:bottom w:val="nil"/>
          <w:right w:val="nil"/>
          <w:between w:val="nil"/>
        </w:pBdr>
        <w:tabs>
          <w:tab w:val="left" w:pos="567"/>
        </w:tabs>
        <w:spacing w:after="0" w:line="276" w:lineRule="auto"/>
        <w:ind w:left="1701"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Solicitar la imposición o revocación de una medida de coerción o la actuación de prueba anticipada conforme a los artículos 242 y 243, en los pertinente;</w:t>
      </w:r>
    </w:p>
    <w:p w:rsidR="009609BF" w:rsidRDefault="009609BF">
      <w:pPr>
        <w:pBdr>
          <w:top w:val="nil"/>
          <w:left w:val="nil"/>
          <w:bottom w:val="nil"/>
          <w:right w:val="nil"/>
          <w:between w:val="nil"/>
        </w:pBdr>
        <w:tabs>
          <w:tab w:val="left" w:pos="567"/>
        </w:tabs>
        <w:spacing w:after="0" w:line="276" w:lineRule="auto"/>
        <w:ind w:left="1701" w:hanging="720"/>
        <w:jc w:val="both"/>
        <w:rPr>
          <w:rFonts w:ascii="Times New Roman" w:eastAsia="Times New Roman" w:hAnsi="Times New Roman" w:cs="Times New Roman"/>
          <w:color w:val="000000"/>
          <w:sz w:val="8"/>
          <w:szCs w:val="8"/>
        </w:rPr>
      </w:pPr>
    </w:p>
    <w:p w:rsidR="009609BF" w:rsidRDefault="0066183D">
      <w:pPr>
        <w:numPr>
          <w:ilvl w:val="0"/>
          <w:numId w:val="6"/>
        </w:numPr>
        <w:pBdr>
          <w:top w:val="nil"/>
          <w:left w:val="nil"/>
          <w:bottom w:val="nil"/>
          <w:right w:val="nil"/>
          <w:between w:val="nil"/>
        </w:pBdr>
        <w:tabs>
          <w:tab w:val="left" w:pos="567"/>
        </w:tabs>
        <w:spacing w:after="0" w:line="276" w:lineRule="auto"/>
        <w:ind w:left="1701"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Pedir el sobreseimiento;</w:t>
      </w:r>
    </w:p>
    <w:p w:rsidR="009609BF" w:rsidRDefault="009609BF">
      <w:pPr>
        <w:pBdr>
          <w:top w:val="nil"/>
          <w:left w:val="nil"/>
          <w:bottom w:val="nil"/>
          <w:right w:val="nil"/>
          <w:between w:val="nil"/>
        </w:pBdr>
        <w:tabs>
          <w:tab w:val="left" w:pos="567"/>
        </w:tabs>
        <w:spacing w:after="0" w:line="276" w:lineRule="auto"/>
        <w:ind w:left="1701" w:hanging="720"/>
        <w:jc w:val="both"/>
        <w:rPr>
          <w:rFonts w:ascii="Times New Roman" w:eastAsia="Times New Roman" w:hAnsi="Times New Roman" w:cs="Times New Roman"/>
          <w:color w:val="000000"/>
          <w:sz w:val="8"/>
          <w:szCs w:val="8"/>
        </w:rPr>
      </w:pPr>
    </w:p>
    <w:p w:rsidR="009609BF" w:rsidRDefault="0066183D">
      <w:pPr>
        <w:numPr>
          <w:ilvl w:val="0"/>
          <w:numId w:val="6"/>
        </w:numPr>
        <w:pBdr>
          <w:top w:val="nil"/>
          <w:left w:val="nil"/>
          <w:bottom w:val="nil"/>
          <w:right w:val="nil"/>
          <w:between w:val="nil"/>
        </w:pBdr>
        <w:tabs>
          <w:tab w:val="left" w:pos="567"/>
        </w:tabs>
        <w:spacing w:after="0" w:line="276" w:lineRule="auto"/>
        <w:ind w:left="1701"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Instar la aplicación si fuere el caso de un criterio de oportunidad; </w:t>
      </w:r>
    </w:p>
    <w:p w:rsidR="009609BF" w:rsidRDefault="009609BF">
      <w:pPr>
        <w:pBdr>
          <w:top w:val="nil"/>
          <w:left w:val="nil"/>
          <w:bottom w:val="nil"/>
          <w:right w:val="nil"/>
          <w:between w:val="nil"/>
        </w:pBdr>
        <w:tabs>
          <w:tab w:val="left" w:pos="567"/>
        </w:tabs>
        <w:spacing w:after="0" w:line="276" w:lineRule="auto"/>
        <w:ind w:left="1701" w:hanging="720"/>
        <w:jc w:val="both"/>
        <w:rPr>
          <w:rFonts w:ascii="Times New Roman" w:eastAsia="Times New Roman" w:hAnsi="Times New Roman" w:cs="Times New Roman"/>
          <w:color w:val="000000"/>
          <w:sz w:val="8"/>
          <w:szCs w:val="8"/>
        </w:rPr>
      </w:pPr>
    </w:p>
    <w:p w:rsidR="009609BF" w:rsidRDefault="0066183D">
      <w:pPr>
        <w:numPr>
          <w:ilvl w:val="0"/>
          <w:numId w:val="6"/>
        </w:numPr>
        <w:pBdr>
          <w:top w:val="nil"/>
          <w:left w:val="nil"/>
          <w:bottom w:val="nil"/>
          <w:right w:val="nil"/>
          <w:between w:val="nil"/>
        </w:pBdr>
        <w:tabs>
          <w:tab w:val="left" w:pos="567"/>
        </w:tabs>
        <w:spacing w:after="0" w:line="276" w:lineRule="auto"/>
        <w:ind w:left="1701"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Ofrecer pruebas para el juicio, adjuntando la lista de testigos y peritos que deben ser convocados al debate, con indicación de nombre, profesión y domicilio, precisando los hechos acerca de los cuales serán examinados en el curso del debate. Presentar los documentos que no fueron incorporados antes, o señalar el lugar donde se hallan los que deban ser requeridos;</w:t>
      </w:r>
    </w:p>
    <w:p w:rsidR="009609BF" w:rsidRDefault="009609BF">
      <w:pPr>
        <w:pBdr>
          <w:top w:val="nil"/>
          <w:left w:val="nil"/>
          <w:bottom w:val="nil"/>
          <w:right w:val="nil"/>
          <w:between w:val="nil"/>
        </w:pBdr>
        <w:tabs>
          <w:tab w:val="left" w:pos="567"/>
        </w:tabs>
        <w:spacing w:after="0" w:line="276" w:lineRule="auto"/>
        <w:ind w:left="1701" w:hanging="720"/>
        <w:jc w:val="both"/>
        <w:rPr>
          <w:rFonts w:ascii="Times New Roman" w:eastAsia="Times New Roman" w:hAnsi="Times New Roman" w:cs="Times New Roman"/>
          <w:color w:val="000000"/>
          <w:sz w:val="8"/>
          <w:szCs w:val="8"/>
        </w:rPr>
      </w:pPr>
    </w:p>
    <w:p w:rsidR="009609BF" w:rsidRDefault="0066183D">
      <w:pPr>
        <w:numPr>
          <w:ilvl w:val="0"/>
          <w:numId w:val="6"/>
        </w:numPr>
        <w:pBdr>
          <w:top w:val="nil"/>
          <w:left w:val="nil"/>
          <w:bottom w:val="nil"/>
          <w:right w:val="nil"/>
          <w:between w:val="nil"/>
        </w:pBdr>
        <w:tabs>
          <w:tab w:val="left" w:pos="567"/>
        </w:tabs>
        <w:spacing w:after="0" w:line="276" w:lineRule="auto"/>
        <w:ind w:left="1701"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Objetar la reparación civil o reclamar su incremento o extensión, para lo cual se ofrecerán los medios de prueba pertinentes para su actuación en el juicio oral; o, </w:t>
      </w:r>
    </w:p>
    <w:p w:rsidR="009609BF" w:rsidRDefault="009609BF">
      <w:pPr>
        <w:pBdr>
          <w:top w:val="nil"/>
          <w:left w:val="nil"/>
          <w:bottom w:val="nil"/>
          <w:right w:val="nil"/>
          <w:between w:val="nil"/>
        </w:pBdr>
        <w:tabs>
          <w:tab w:val="left" w:pos="567"/>
        </w:tabs>
        <w:spacing w:after="0" w:line="276" w:lineRule="auto"/>
        <w:ind w:left="1701" w:hanging="720"/>
        <w:jc w:val="both"/>
        <w:rPr>
          <w:rFonts w:ascii="Times New Roman" w:eastAsia="Times New Roman" w:hAnsi="Times New Roman" w:cs="Times New Roman"/>
          <w:color w:val="000000"/>
          <w:sz w:val="8"/>
          <w:szCs w:val="8"/>
        </w:rPr>
      </w:pPr>
    </w:p>
    <w:p w:rsidR="009609BF" w:rsidRDefault="0066183D">
      <w:pPr>
        <w:numPr>
          <w:ilvl w:val="0"/>
          <w:numId w:val="6"/>
        </w:numPr>
        <w:pBdr>
          <w:top w:val="nil"/>
          <w:left w:val="nil"/>
          <w:bottom w:val="nil"/>
          <w:right w:val="nil"/>
          <w:between w:val="nil"/>
        </w:pBdr>
        <w:tabs>
          <w:tab w:val="left" w:pos="567"/>
        </w:tabs>
        <w:spacing w:after="0" w:line="276" w:lineRule="auto"/>
        <w:ind w:left="1701"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Plantear cualquier otra cuestión que tienda a preparar mejor el juicio.</w:t>
      </w:r>
    </w:p>
    <w:p w:rsidR="009609BF" w:rsidRDefault="009609BF">
      <w:pPr>
        <w:pBdr>
          <w:top w:val="nil"/>
          <w:left w:val="nil"/>
          <w:bottom w:val="nil"/>
          <w:right w:val="nil"/>
          <w:between w:val="nil"/>
        </w:pBdr>
        <w:tabs>
          <w:tab w:val="left" w:pos="567"/>
        </w:tabs>
        <w:spacing w:after="0" w:line="276" w:lineRule="auto"/>
        <w:ind w:left="1701" w:hanging="720"/>
        <w:jc w:val="both"/>
        <w:rPr>
          <w:rFonts w:ascii="Times New Roman" w:eastAsia="Times New Roman" w:hAnsi="Times New Roman" w:cs="Times New Roman"/>
          <w:color w:val="000000"/>
          <w:sz w:val="8"/>
          <w:szCs w:val="8"/>
        </w:rPr>
      </w:pPr>
    </w:p>
    <w:p w:rsidR="009609BF" w:rsidRDefault="0066183D">
      <w:pPr>
        <w:numPr>
          <w:ilvl w:val="0"/>
          <w:numId w:val="4"/>
        </w:numPr>
        <w:pBdr>
          <w:top w:val="nil"/>
          <w:left w:val="nil"/>
          <w:bottom w:val="nil"/>
          <w:right w:val="nil"/>
          <w:between w:val="nil"/>
        </w:pBdr>
        <w:tabs>
          <w:tab w:val="left" w:pos="567"/>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demás sujetos procesales podrán proponer los hechos que aceptan y que el Juez dará por acreditados, obviando su actuación probatoria en el Juicio. Asimismo, podrán proponer acuerdos acerca de los medios de prueba que serán necesarios para que determinados hechos se estimen probados. El Juez, sin embargo, exponiendo los motivos que lo justifiquen, podrá desvincularse de esos acuerdos; en caso contrario, si no fundamenta especialmente las razones de su rechazo, carecerá de efecto la decisión que los desestime. (Nuevo Código Procesal Penal, 2004).</w:t>
      </w:r>
    </w:p>
    <w:p w:rsidR="009609BF" w:rsidRDefault="0066183D">
      <w:pPr>
        <w:tabs>
          <w:tab w:val="left" w:pos="567"/>
        </w:tabs>
        <w:spacing w:after="0" w:line="276" w:lineRule="auto"/>
        <w:ind w:firstLine="567"/>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 xml:space="preserve">        </w:t>
      </w: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Del artículo antes mencionado, analizaré el </w:t>
      </w:r>
      <w:r>
        <w:rPr>
          <w:rFonts w:ascii="Times New Roman" w:eastAsia="Times New Roman" w:hAnsi="Times New Roman" w:cs="Times New Roman"/>
          <w:b/>
          <w:color w:val="000000"/>
          <w:sz w:val="24"/>
          <w:szCs w:val="24"/>
        </w:rPr>
        <w:t>literal e</w:t>
      </w:r>
      <w:r>
        <w:rPr>
          <w:rFonts w:ascii="Times New Roman" w:eastAsia="Times New Roman" w:hAnsi="Times New Roman" w:cs="Times New Roman"/>
          <w:color w:val="000000"/>
          <w:sz w:val="24"/>
          <w:szCs w:val="24"/>
        </w:rPr>
        <w:t xml:space="preserve">, del </w:t>
      </w:r>
      <w:r>
        <w:rPr>
          <w:rFonts w:ascii="Times New Roman" w:eastAsia="Times New Roman" w:hAnsi="Times New Roman" w:cs="Times New Roman"/>
          <w:b/>
          <w:color w:val="000000"/>
          <w:sz w:val="24"/>
          <w:szCs w:val="24"/>
        </w:rPr>
        <w:t>inciso 1)</w:t>
      </w:r>
      <w:r>
        <w:rPr>
          <w:rFonts w:ascii="Times New Roman" w:eastAsia="Times New Roman" w:hAnsi="Times New Roman" w:cs="Times New Roman"/>
          <w:color w:val="000000"/>
          <w:sz w:val="24"/>
          <w:szCs w:val="24"/>
        </w:rPr>
        <w:t xml:space="preserve"> del </w:t>
      </w:r>
      <w:r>
        <w:rPr>
          <w:rFonts w:ascii="Times New Roman" w:eastAsia="Times New Roman" w:hAnsi="Times New Roman" w:cs="Times New Roman"/>
          <w:b/>
          <w:color w:val="000000"/>
          <w:sz w:val="24"/>
          <w:szCs w:val="24"/>
        </w:rPr>
        <w:t>artículo 350</w:t>
      </w:r>
      <w:r>
        <w:rPr>
          <w:rFonts w:ascii="Times New Roman" w:eastAsia="Times New Roman" w:hAnsi="Times New Roman" w:cs="Times New Roman"/>
          <w:color w:val="000000"/>
          <w:sz w:val="24"/>
          <w:szCs w:val="24"/>
        </w:rPr>
        <w:t xml:space="preserve">, el cual hace referencia al Principio de Oportunidad -en adelante P.O.-, sobre el particular, es necesario precisar que el N.C.P.P. de 2004, regula el P.O. denominado por la doctrina como P.O. reglado, esto debido a que sus supuestos de aplicación se encuentran restringidos a un catálogo </w:t>
      </w:r>
      <w:r>
        <w:rPr>
          <w:rFonts w:ascii="Times New Roman" w:eastAsia="Times New Roman" w:hAnsi="Times New Roman" w:cs="Times New Roman"/>
          <w:i/>
          <w:color w:val="000000"/>
          <w:sz w:val="24"/>
          <w:szCs w:val="24"/>
        </w:rPr>
        <w:t>numerus clausus</w:t>
      </w:r>
      <w:r>
        <w:rPr>
          <w:rFonts w:ascii="Times New Roman" w:eastAsia="Times New Roman" w:hAnsi="Times New Roman" w:cs="Times New Roman"/>
          <w:color w:val="000000"/>
          <w:sz w:val="24"/>
          <w:szCs w:val="24"/>
        </w:rPr>
        <w:t xml:space="preserve">, que el cuerpo normativo antes mencionado regula en su </w:t>
      </w:r>
      <w:r>
        <w:rPr>
          <w:rFonts w:ascii="Times New Roman" w:eastAsia="Times New Roman" w:hAnsi="Times New Roman" w:cs="Times New Roman"/>
          <w:b/>
          <w:color w:val="000000"/>
          <w:sz w:val="24"/>
          <w:szCs w:val="24"/>
        </w:rPr>
        <w:t>artículo 2</w:t>
      </w:r>
      <w:r>
        <w:rPr>
          <w:rFonts w:ascii="Times New Roman" w:eastAsia="Times New Roman" w:hAnsi="Times New Roman" w:cs="Times New Roman"/>
          <w:color w:val="000000"/>
          <w:sz w:val="24"/>
          <w:szCs w:val="24"/>
        </w:rPr>
        <w:t xml:space="preserve">, como detallo a continuación: </w:t>
      </w:r>
    </w:p>
    <w:p w:rsidR="009609BF" w:rsidRDefault="009609BF">
      <w:pPr>
        <w:tabs>
          <w:tab w:val="left" w:pos="567"/>
        </w:tabs>
        <w:spacing w:after="0" w:line="276" w:lineRule="auto"/>
        <w:jc w:val="both"/>
        <w:rPr>
          <w:rFonts w:ascii="Times New Roman" w:eastAsia="Times New Roman" w:hAnsi="Times New Roman" w:cs="Times New Roman"/>
          <w:color w:val="FF0000"/>
          <w:sz w:val="24"/>
          <w:szCs w:val="24"/>
          <w:highlight w:val="yellow"/>
        </w:rPr>
      </w:pPr>
    </w:p>
    <w:p w:rsidR="009609BF" w:rsidRDefault="0066183D">
      <w:pPr>
        <w:shd w:val="clear" w:color="auto" w:fill="FFFFFF"/>
        <w:spacing w:after="0" w:line="276" w:lineRule="auto"/>
        <w:ind w:left="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Artículo 2. Principio de oportunidad</w:t>
      </w:r>
    </w:p>
    <w:p w:rsidR="009609BF" w:rsidRDefault="009609BF">
      <w:pPr>
        <w:shd w:val="clear" w:color="auto" w:fill="FFFFFF"/>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El Ministerio Público, de oficio o a pedido del imputado y con su consentimiento, podrá abstenerse de ejercitar la acción penal en cualquiera de los siguientes casos:</w:t>
      </w:r>
    </w:p>
    <w:p w:rsidR="009609BF" w:rsidRDefault="009609BF">
      <w:pPr>
        <w:shd w:val="clear" w:color="auto" w:fill="FFFFFF"/>
        <w:spacing w:after="0" w:line="276" w:lineRule="auto"/>
        <w:ind w:left="1701"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70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Cuando el agente haya sido afectado gravemente por las consecuencias de su delito, culposo o doloso, siempre que este último sea reprimido con pena privativa de libertad no mayor de cuatro años, y la pena resulte innecesaria.</w:t>
      </w:r>
    </w:p>
    <w:p w:rsidR="009609BF" w:rsidRDefault="009609BF">
      <w:pPr>
        <w:shd w:val="clear" w:color="auto" w:fill="FFFFFF"/>
        <w:spacing w:after="0" w:line="276" w:lineRule="auto"/>
        <w:ind w:left="1701"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70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Cuando se trate de delitos que no afecten gravemente el interés público, salvo cuando el extremo mínimo de la pena sea superior a los dos años de pena privativa de libertad, o hubieren sido cometidos por un funcionario público en ejercicio de su cargo.</w:t>
      </w:r>
    </w:p>
    <w:p w:rsidR="009609BF" w:rsidRDefault="009609BF">
      <w:pPr>
        <w:shd w:val="clear" w:color="auto" w:fill="FFFFFF"/>
        <w:spacing w:after="0" w:line="276" w:lineRule="auto"/>
        <w:ind w:left="1701"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70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Cuando conforme a las circunstancias del hecho y a las condiciones personales del denunciado, el Fiscal puede apreciar que concurren los supuestos atenuantes de los artículos 14, 15, 16, 18, 21, 22, 25 y 46 del Código Penal, y se advierta que no existe ningún interés público gravemente comprometido en su persecución. No será posible cuando se trate de un delito conminado con una sanción superior a cuatro años de pena privativa de libertad o cometido por un funcionario público en el ejercicio de su cargo.</w:t>
      </w:r>
    </w:p>
    <w:p w:rsidR="009609BF" w:rsidRDefault="009609BF">
      <w:pPr>
        <w:shd w:val="clear" w:color="auto" w:fill="FFFFFF"/>
        <w:tabs>
          <w:tab w:val="left" w:pos="1134"/>
        </w:tabs>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En los supuestos previstos en los incisos b) y c) del numeral anterior, será necesario que el agente hubiere reparado los daños y perjuicios ocasionados o exista acuerdo con el agraviado en ese sentido.</w:t>
      </w:r>
    </w:p>
    <w:p w:rsidR="009609BF" w:rsidRDefault="009609BF">
      <w:pPr>
        <w:shd w:val="clear" w:color="auto" w:fill="FFFFFF"/>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El Fiscal citará al imputado y al agraviado con el fin de realizar la diligencia de acuerdo, dejándose constancia en acta. En caso de inasistencia del agraviado, el Fiscal podrá determinar razonablemente el monto de la reparación civil que corresponda. Si no se llega a un acuerdo sobre el plazo para el pago de la reparación civil, el Fiscal lo fijará sin que este exceda de nueve meses. No será necesaria la referida diligencia si el imputado y la víctima llegan a un acuerdo y este consta en instrumento público o documento privado legalizado notarialmente.</w:t>
      </w:r>
    </w:p>
    <w:p w:rsidR="009609BF" w:rsidRDefault="009609BF">
      <w:pPr>
        <w:shd w:val="clear" w:color="auto" w:fill="FFFFFF"/>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Realizada la diligencia prevista en el párrafo anterior y satisfecha la reparación civil, el Fiscal expedirá una Disposición de Abstención. Esta disposición impide, bajo sanción de nulidad, que otro Fiscal pueda promover u ordenar que se promueva acción penal por una denuncia que contenga los mismos hechos. De existir un plazo para el pago de la reparación civil, se suspenderán los efectos de dicha decisión hasta su efectivo cumplimiento. De no producirse el pago, se dictará disposición para la promoción de la acción penal, la cual no será impugnable.</w:t>
      </w:r>
    </w:p>
    <w:p w:rsidR="009609BF" w:rsidRDefault="009609BF">
      <w:pPr>
        <w:shd w:val="clear" w:color="auto" w:fill="FFFFFF"/>
        <w:tabs>
          <w:tab w:val="left" w:pos="1134"/>
        </w:tabs>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Si el Fiscal considera imprescindible, para suprimir el interés público en la persecución, sin oponerse a la gravedad de la responsabilidad, imponer adicionalmente el pago de un importe a favor de una institución de interés social o del Estado y la aplicación de las reglas de conducta previstas en el artículo 64 del Código Penal, solicitará la aprobación de la abstención al Juez de la Investigación Preparatoria, el que la resolverá previa audiencia de los interesados. Son aplicables las disposiciones del numeral 4) del presente artículo.</w:t>
      </w:r>
    </w:p>
    <w:p w:rsidR="009609BF" w:rsidRDefault="009609BF">
      <w:pPr>
        <w:shd w:val="clear" w:color="auto" w:fill="FFFFFF"/>
        <w:spacing w:after="0" w:line="276" w:lineRule="auto"/>
        <w:ind w:left="1134" w:hanging="567"/>
        <w:jc w:val="both"/>
        <w:rPr>
          <w:rFonts w:ascii="Times New Roman" w:eastAsia="Times New Roman" w:hAnsi="Times New Roman" w:cs="Times New Roman"/>
          <w:b/>
          <w:color w:val="000000"/>
          <w:sz w:val="8"/>
          <w:szCs w:val="8"/>
        </w:rPr>
      </w:pPr>
      <w:bookmarkStart w:id="1" w:name="gjdgxs" w:colFirst="0" w:colLast="0"/>
      <w:bookmarkEnd w:id="1"/>
    </w:p>
    <w:p w:rsidR="009609BF" w:rsidRDefault="0066183D">
      <w:pPr>
        <w:shd w:val="clear" w:color="auto" w:fill="FFFFFF"/>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r>
        <w:rPr>
          <w:rFonts w:ascii="Times New Roman" w:eastAsia="Times New Roman" w:hAnsi="Times New Roman" w:cs="Times New Roman"/>
          <w:color w:val="000000"/>
          <w:sz w:val="24"/>
          <w:szCs w:val="24"/>
        </w:rPr>
        <w:tab/>
        <w:t xml:space="preserve">Independientemente de los casos establecidos en el numeral 1) procede un acuerdo reparatorio en los delitos previstos y sancionados en los artículos </w:t>
      </w:r>
      <w:r>
        <w:rPr>
          <w:rFonts w:ascii="Times New Roman" w:eastAsia="Times New Roman" w:hAnsi="Times New Roman" w:cs="Times New Roman"/>
          <w:color w:val="000000"/>
          <w:sz w:val="24"/>
          <w:szCs w:val="24"/>
        </w:rPr>
        <w:lastRenderedPageBreak/>
        <w:t>122, 149 primer párrafo, 185, 187, 189-A primer párrafo, 190, 191, 192, 193, 196, 197, 198, 205 y 215 del Código Penal, y en los delitos culposos. No rige esta regla cuando haya pluralidad importante de víctimas o concurso con otro delito; salvo que, en este último caso, sea de menor gravedad o que afecte bienes jurídicos disponibles.</w:t>
      </w:r>
    </w:p>
    <w:p w:rsidR="009609BF" w:rsidRDefault="009609BF">
      <w:pPr>
        <w:shd w:val="clear" w:color="auto" w:fill="FFFFFF"/>
        <w:spacing w:after="0" w:line="276" w:lineRule="auto"/>
        <w:ind w:left="1134"/>
        <w:jc w:val="both"/>
        <w:rPr>
          <w:rFonts w:ascii="Times New Roman" w:eastAsia="Times New Roman" w:hAnsi="Times New Roman" w:cs="Times New Roman"/>
          <w:color w:val="000000"/>
          <w:sz w:val="8"/>
          <w:szCs w:val="8"/>
        </w:rPr>
      </w:pPr>
    </w:p>
    <w:p w:rsidR="009609BF" w:rsidRDefault="0066183D">
      <w:pPr>
        <w:shd w:val="clear" w:color="auto" w:fill="FFFFFF"/>
        <w:spacing w:after="0" w:line="276"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Fiscal de oficio o a pedido del imputado o de la víctima propondrá un acuerdo reparatorio. Si ambos convienen el mismo, el Fiscal se abstendrá de ejercitar la acción penal. Si el imputado no concurre a la segunda citación o se ignora su domicilio o paradero, el Fiscal promoverá la acción penal. Rige en lo pertinente el numeral 3) del presente artículo.</w:t>
      </w:r>
    </w:p>
    <w:p w:rsidR="009609BF" w:rsidRDefault="009609BF">
      <w:pPr>
        <w:shd w:val="clear" w:color="auto" w:fill="FFFFFF"/>
        <w:tabs>
          <w:tab w:val="left" w:pos="1134"/>
        </w:tabs>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Si la acción penal hubiera sido promovida, el Juez de la Investigación Preparatoria, previa audiencia, podrá a petición del Ministerio Público, con la aprobación del imputado y citación del agraviado, dictar auto de sobreseimiento -con o sin las reglas fijadas en el numeral 5)- hasta antes de formularse la acusación, bajo los supuestos ya establecidos. Esta resolución no será impugnable, salvo en cuanto al monto de la reparación civil si esta es fijada por el Juez ante la inexistencia de acuerdo entre el imputado y la víctima, o respecto a las reglas impuestas si estas son desproporcionadas y afectan irrazonablemente la situación jurídica del imputado.</w:t>
      </w:r>
    </w:p>
    <w:p w:rsidR="009609BF" w:rsidRDefault="009609BF">
      <w:pPr>
        <w:shd w:val="clear" w:color="auto" w:fill="FFFFFF"/>
        <w:tabs>
          <w:tab w:val="left" w:pos="1134"/>
        </w:tabs>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El Fiscal podrá también abstenerse de ejercer la acción penal, luego de la verificación correspondiente, en los casos en que el agente comprendido en la comisión de los delitos previstos en los artículos 307-A, 307-B, 307-C, 307-D y 307-E del Código Penal, suspenda sus actividades ilícitas de modo voluntario, definitivo e indubitable, comunicando este hecho al Organismo de Evaluación y Fiscalización Ambiental mediante instrumento de fecha cierta. Si la acción penal hubiera sido ya promovida, se aplican, en lo pertinente, las mismas reglas establecidas en el presente artículo.</w:t>
      </w:r>
    </w:p>
    <w:p w:rsidR="009609BF" w:rsidRDefault="009609BF">
      <w:pPr>
        <w:shd w:val="clear" w:color="auto" w:fill="FFFFFF"/>
        <w:tabs>
          <w:tab w:val="left" w:pos="1134"/>
        </w:tabs>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shd w:val="clear" w:color="auto" w:fill="FFFFFF"/>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No procede la aplicación del principio de oportunidad ni del acuerdo reparatorio cuando el imputado:</w:t>
      </w:r>
    </w:p>
    <w:p w:rsidR="009609BF" w:rsidRDefault="009609BF">
      <w:pPr>
        <w:shd w:val="clear" w:color="auto" w:fill="FFFFFF"/>
        <w:spacing w:after="0" w:line="276" w:lineRule="auto"/>
        <w:ind w:left="1701"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70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Tiene la condición de reincidente o habitual, de conformidad con los artículos 46-B y 46-C del Código Penal;</w:t>
      </w:r>
    </w:p>
    <w:p w:rsidR="009609BF" w:rsidRDefault="009609BF">
      <w:pPr>
        <w:shd w:val="clear" w:color="auto" w:fill="FFFFFF"/>
        <w:spacing w:after="0" w:line="276" w:lineRule="auto"/>
        <w:ind w:left="1701"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70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Sin tener la condición de reincidente o habitual, se hubiera acogido al principio de oportunidad o acuerdo reparatorio en dos ocasiones anteriores, dentro de los cinco años de su última aplicación, siempre que se trate, en todos los casos, de delitos de la misma naturaleza o que atenten contra un mismo bien jurídico;</w:t>
      </w:r>
    </w:p>
    <w:p w:rsidR="009609BF" w:rsidRDefault="009609BF">
      <w:pPr>
        <w:shd w:val="clear" w:color="auto" w:fill="FFFFFF"/>
        <w:spacing w:after="0" w:line="276" w:lineRule="auto"/>
        <w:ind w:left="1701"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70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Sin tener la condición de reincidente o habitual, se hubiera acogido al principio de oportunidad o acuerdo reparatorio dentro de los cinco años anteriores a la comisión del último delito; o,</w:t>
      </w:r>
    </w:p>
    <w:p w:rsidR="009609BF" w:rsidRDefault="009609BF">
      <w:pPr>
        <w:shd w:val="clear" w:color="auto" w:fill="FFFFFF"/>
        <w:spacing w:after="0" w:line="276" w:lineRule="auto"/>
        <w:ind w:left="1701" w:hanging="567"/>
        <w:jc w:val="both"/>
        <w:rPr>
          <w:rFonts w:ascii="Times New Roman" w:eastAsia="Times New Roman" w:hAnsi="Times New Roman" w:cs="Times New Roman"/>
          <w:b/>
          <w:color w:val="000000"/>
          <w:sz w:val="8"/>
          <w:szCs w:val="8"/>
        </w:rPr>
      </w:pPr>
    </w:p>
    <w:p w:rsidR="009609BF" w:rsidRDefault="0066183D">
      <w:pPr>
        <w:shd w:val="clear" w:color="auto" w:fill="FFFFFF"/>
        <w:spacing w:after="0" w:line="276" w:lineRule="auto"/>
        <w:ind w:left="1701"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Sin tener la condición de reincidente o habitual, se hubiera acogido con anterioridad al principio de oportunidad o acuerdo reparatorio y no haya cumplido con reparar los daños y perjuicios ocasionados o lo establecido en el acuerdo reparatorio.</w:t>
      </w:r>
    </w:p>
    <w:p w:rsidR="009609BF" w:rsidRDefault="009609BF">
      <w:pPr>
        <w:shd w:val="clear" w:color="auto" w:fill="FFFFFF"/>
        <w:spacing w:after="0" w:line="276" w:lineRule="auto"/>
        <w:ind w:left="1134"/>
        <w:jc w:val="both"/>
        <w:rPr>
          <w:rFonts w:ascii="Times New Roman" w:eastAsia="Times New Roman" w:hAnsi="Times New Roman" w:cs="Times New Roman"/>
          <w:color w:val="000000"/>
          <w:sz w:val="8"/>
          <w:szCs w:val="8"/>
        </w:rPr>
      </w:pPr>
    </w:p>
    <w:p w:rsidR="009609BF" w:rsidRDefault="0066183D">
      <w:pPr>
        <w:shd w:val="clear" w:color="auto" w:fill="FFFFFF"/>
        <w:spacing w:after="0" w:line="276" w:lineRule="auto"/>
        <w:ind w:left="17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estos casos, el Fiscal promueve indefectiblemente la acción penal y procede de acuerdo con sus atribuciones. Lo dispuesto en el numeral 9) es aplicable también para los casos en que se hubiere promovido la acción penal. (Nuevo Código Procesal Penal, 2004). </w:t>
      </w:r>
    </w:p>
    <w:p w:rsidR="009609BF" w:rsidRDefault="009609BF">
      <w:pPr>
        <w:tabs>
          <w:tab w:val="left" w:pos="567"/>
        </w:tabs>
        <w:spacing w:after="0" w:line="276" w:lineRule="auto"/>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 la lectura del artículo citado, se evidencia que el P.O. solo podrá aplicarse en determinadas situaciones, entre otras cuando se presente la falta de necesidad de pena, falta de merecimiento de pena -escasa legitimidad, interés público, mínima lesividad-; y acuerdo reparatorio, siendo que en este último supuesto, se autoriza su aplicación a todos los delitos culposos y algunos delitos dolosos; ahora bien, la sede natural de esta salida alternativa será la investigación preparatoria -investigación o diligencias preliminares e investigación preparatoria propiamente dicha-; sin embargo, esto no quiere decir que aunque con menor frecuencia el P.O. puede tener lugar durante la E.I. como lo reconoce el Acuerdo Plenario N.º 5-200/CJ-116 “Proceso de Terminación Anticipada: Aspectos Esenciales”, que además reconoce que esto se desprende de la lectura del </w:t>
      </w:r>
      <w:r>
        <w:rPr>
          <w:rFonts w:ascii="Times New Roman" w:eastAsia="Times New Roman" w:hAnsi="Times New Roman" w:cs="Times New Roman"/>
          <w:b/>
          <w:color w:val="000000"/>
          <w:sz w:val="24"/>
          <w:szCs w:val="24"/>
        </w:rPr>
        <w:t>artículo 230</w:t>
      </w:r>
      <w:r>
        <w:rPr>
          <w:rFonts w:ascii="Times New Roman" w:eastAsia="Times New Roman" w:hAnsi="Times New Roman" w:cs="Times New Roman"/>
          <w:color w:val="000000"/>
          <w:sz w:val="24"/>
          <w:szCs w:val="24"/>
        </w:rPr>
        <w:t xml:space="preserve"> del Código Procesal Penal Modelo para Iberoamérica de 1989 -en adelante C.P.P.M.I. 1989-, el mismo que fuera fuente de inspiración del N.C.P.P. 2004. </w:t>
      </w:r>
    </w:p>
    <w:p w:rsidR="009609BF" w:rsidRDefault="009609BF">
      <w:pPr>
        <w:tabs>
          <w:tab w:val="left" w:pos="567"/>
        </w:tabs>
        <w:spacing w:after="0" w:line="276" w:lineRule="auto"/>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El C.P.P.M.I. 1989, reguló en su </w:t>
      </w:r>
      <w:r>
        <w:rPr>
          <w:rFonts w:ascii="Times New Roman" w:eastAsia="Times New Roman" w:hAnsi="Times New Roman" w:cs="Times New Roman"/>
          <w:b/>
          <w:color w:val="000000"/>
          <w:sz w:val="24"/>
          <w:szCs w:val="24"/>
        </w:rPr>
        <w:t>artículo 230</w:t>
      </w:r>
      <w:r>
        <w:rPr>
          <w:rFonts w:ascii="Times New Roman" w:eastAsia="Times New Roman" w:hAnsi="Times New Roman" w:cs="Times New Roman"/>
          <w:color w:val="000000"/>
          <w:sz w:val="24"/>
          <w:szCs w:val="24"/>
        </w:rPr>
        <w:t>, la oportunidad o criterio de oportunidad, en los siguientes términos:</w:t>
      </w:r>
    </w:p>
    <w:p w:rsidR="009609BF" w:rsidRDefault="009609BF">
      <w:pPr>
        <w:tabs>
          <w:tab w:val="left" w:pos="567"/>
        </w:tabs>
        <w:spacing w:after="0" w:line="276" w:lineRule="auto"/>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230.- Oportunidad (6).</w:t>
      </w:r>
      <w:r>
        <w:rPr>
          <w:rFonts w:ascii="Times New Roman" w:eastAsia="Times New Roman" w:hAnsi="Times New Roman" w:cs="Times New Roman"/>
          <w:color w:val="000000"/>
          <w:sz w:val="24"/>
          <w:szCs w:val="24"/>
        </w:rPr>
        <w:t xml:space="preserve"> En los casos en que la ley penal permita la aplicación de criterios de oportunidad para evitar la promoción de la persecución penal o para hacerla cesar, el Ministerio Público, por intermedio del funcionario que la ley orgánica determine, pedirá el archivo al juez de instrucción competente, quien decidirá sin recurso alguno. El Tribunal podrá requerir la opinión del Ministerio Público sobre la cuestión, cuando lo considere conveniente.</w:t>
      </w:r>
    </w:p>
    <w:p w:rsidR="009609BF" w:rsidRDefault="0066183D">
      <w:pPr>
        <w:tabs>
          <w:tab w:val="left" w:pos="567"/>
        </w:tabs>
        <w:spacing w:after="0" w:line="276" w:lineRule="auto"/>
        <w:ind w:left="567"/>
        <w:jc w:val="both"/>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24"/>
          <w:szCs w:val="24"/>
        </w:rPr>
        <w:t xml:space="preserve"> </w:t>
      </w:r>
    </w:p>
    <w:p w:rsidR="009609BF" w:rsidRDefault="0066183D">
      <w:pPr>
        <w:tabs>
          <w:tab w:val="left" w:pos="567"/>
        </w:tabs>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archivo no supone la clausura definitiva de la persecución penal, que podrá ser reiniciada por el Ministerio Público cuando lo considere conveniente, salvo que la ley penal le otorgue otros efectos.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567"/>
        </w:tabs>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w:t>
      </w:r>
      <w:r>
        <w:rPr>
          <w:rFonts w:ascii="Times New Roman" w:eastAsia="Times New Roman" w:hAnsi="Times New Roman" w:cs="Times New Roman"/>
          <w:color w:val="000000"/>
          <w:sz w:val="24"/>
          <w:szCs w:val="24"/>
        </w:rPr>
        <w:t xml:space="preserve"> Los criterios de oportunidad deben ser fijados por la ley penal, pues representan soluciones normativas materiales para el ejercicio de la persecución penal; sin embargo, podría ocurrir que, según las disposiciones jurídicas relativas a la distribución de competencia legislativa de un Estado – la mayoría de las veces constitucionales-, la fijación de estos criterios estuviera atribuida con exclusividad al legislador penal. Se incluye, a continuación, un ejemplo posible sobre criterios de oportunidad: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567"/>
        </w:tabs>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las acciones que deben ser ejercidas por el Ministerio Público, él, con el consentimiento del juez competente, podrá decidir la clausura del procedimiento, en los siguientes casos: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numPr>
          <w:ilvl w:val="0"/>
          <w:numId w:val="11"/>
        </w:numPr>
        <w:pBdr>
          <w:top w:val="nil"/>
          <w:left w:val="nil"/>
          <w:bottom w:val="nil"/>
          <w:right w:val="nil"/>
          <w:between w:val="nil"/>
        </w:pBdr>
        <w:tabs>
          <w:tab w:val="left" w:pos="1134"/>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Cuando se tratare de hechos </w:t>
      </w:r>
      <w:proofErr w:type="gramStart"/>
      <w:r>
        <w:rPr>
          <w:rFonts w:ascii="Times New Roman" w:eastAsia="Times New Roman" w:hAnsi="Times New Roman" w:cs="Times New Roman"/>
          <w:color w:val="000000"/>
          <w:sz w:val="24"/>
          <w:szCs w:val="24"/>
        </w:rPr>
        <w:t>que</w:t>
      </w:r>
      <w:proofErr w:type="gramEnd"/>
      <w:r>
        <w:rPr>
          <w:rFonts w:ascii="Times New Roman" w:eastAsia="Times New Roman" w:hAnsi="Times New Roman" w:cs="Times New Roman"/>
          <w:color w:val="000000"/>
          <w:sz w:val="24"/>
          <w:szCs w:val="24"/>
        </w:rPr>
        <w:t xml:space="preserve"> por su insignificancia o su falta de frecuencia, no afecten gravemente el interés público, salvo cuando la pena mínima supere los tres años de privación de libertad o el delito haya sido cometido por un funcionario público en ejercicio de su cargo.</w:t>
      </w:r>
    </w:p>
    <w:p w:rsidR="009609BF" w:rsidRDefault="009609BF">
      <w:pPr>
        <w:pBdr>
          <w:top w:val="nil"/>
          <w:left w:val="nil"/>
          <w:bottom w:val="nil"/>
          <w:right w:val="nil"/>
          <w:between w:val="nil"/>
        </w:pBdr>
        <w:tabs>
          <w:tab w:val="left" w:pos="1134"/>
        </w:tabs>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1"/>
        </w:numPr>
        <w:pBdr>
          <w:top w:val="nil"/>
          <w:left w:val="nil"/>
          <w:bottom w:val="nil"/>
          <w:right w:val="nil"/>
          <w:between w:val="nil"/>
        </w:pBdr>
        <w:tabs>
          <w:tab w:val="left" w:pos="1134"/>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Cuando contribución o la culpabilidad del agente en la comisión del hecho sea leve y no exista ningún interés público gravemente en su persecución, salvo que se tratare de un delito cometido por funcionario público en ejercicio de su cargo.</w:t>
      </w:r>
    </w:p>
    <w:p w:rsidR="009609BF" w:rsidRDefault="009609BF">
      <w:pPr>
        <w:pBdr>
          <w:top w:val="nil"/>
          <w:left w:val="nil"/>
          <w:bottom w:val="nil"/>
          <w:right w:val="nil"/>
          <w:between w:val="nil"/>
        </w:pBdr>
        <w:tabs>
          <w:tab w:val="left" w:pos="1134"/>
        </w:tabs>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1"/>
        </w:numPr>
        <w:pBdr>
          <w:top w:val="nil"/>
          <w:left w:val="nil"/>
          <w:bottom w:val="nil"/>
          <w:right w:val="nil"/>
          <w:between w:val="nil"/>
        </w:pBdr>
        <w:tabs>
          <w:tab w:val="left" w:pos="1134"/>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Cuando se tratare de casos que reúnen los presupuestos bajo los cuales el tribunal puede prescindir de la pena. </w:t>
      </w:r>
    </w:p>
    <w:p w:rsidR="009609BF" w:rsidRDefault="009609BF">
      <w:pPr>
        <w:pBdr>
          <w:top w:val="nil"/>
          <w:left w:val="nil"/>
          <w:bottom w:val="nil"/>
          <w:right w:val="nil"/>
          <w:between w:val="nil"/>
        </w:pBdr>
        <w:tabs>
          <w:tab w:val="left" w:pos="1134"/>
        </w:tabs>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1"/>
        </w:numPr>
        <w:pBdr>
          <w:top w:val="nil"/>
          <w:left w:val="nil"/>
          <w:bottom w:val="nil"/>
          <w:right w:val="nil"/>
          <w:between w:val="nil"/>
        </w:pBdr>
        <w:tabs>
          <w:tab w:val="left" w:pos="1134"/>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Cuando para evitar la consumación de un hecho o para facilitar su persecución penal, resultare idóneo prescindir de la persecución de otro hecho o de una contribución al mismo hecho, o limitar la pretensión punitiva a una pena o calificación más leve de la que efectivamente corresponde. En este último caso, no procederá la clausura del procedimiento. Esta disposición no será aplicable a hechos cometidos por funcionarios públicos en ejercicio de su cargo.</w:t>
      </w:r>
    </w:p>
    <w:p w:rsidR="009609BF" w:rsidRDefault="009609BF">
      <w:pPr>
        <w:pBdr>
          <w:top w:val="nil"/>
          <w:left w:val="nil"/>
          <w:bottom w:val="nil"/>
          <w:right w:val="nil"/>
          <w:between w:val="nil"/>
        </w:pBdr>
        <w:tabs>
          <w:tab w:val="left" w:pos="1134"/>
        </w:tabs>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1"/>
        </w:numPr>
        <w:pBdr>
          <w:top w:val="nil"/>
          <w:left w:val="nil"/>
          <w:bottom w:val="nil"/>
          <w:right w:val="nil"/>
          <w:between w:val="nil"/>
        </w:pBdr>
        <w:tabs>
          <w:tab w:val="left" w:pos="1134"/>
        </w:tabs>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Cuando alguna de varios infracciones legales, que han sido cometidas por una misma acción o por varias acciones, carecen de importancia en consideración a la pena o medida de seguridad y corrección ya ejecutoriada o a la que probablemente se aplicará, se podrá limitar la persecución a la otra u otras infracciones restantes; de la misma manera se procederá cuando la pena o medida de seguridad y corrección que se espera por un hecho punible carece de importancia en consideración a la pena o medida de seguridad y corrección ya ejecutoriada o a la que se debe esperar en un proceso tramitado en el extranjero, y procede la extradición y entrega del imputado al país extranjero; en este mismo caso, se podrá prescindir de la extradición activa. En estos supuestos, el procedimiento podrá ser reabierto y se podrá proseguir la persecución penal, si la pena o medida de seguridad esperada no se ejecuta o impone. (Código Procesal Penal Modelo para Iberoamérica, 1989). </w:t>
      </w:r>
    </w:p>
    <w:p w:rsidR="009609BF" w:rsidRDefault="009609BF">
      <w:pPr>
        <w:tabs>
          <w:tab w:val="left" w:pos="567"/>
          <w:tab w:val="left" w:pos="1134"/>
        </w:tabs>
        <w:spacing w:after="0" w:line="276" w:lineRule="auto"/>
        <w:jc w:val="both"/>
        <w:rPr>
          <w:rFonts w:ascii="Times New Roman" w:eastAsia="Times New Roman" w:hAnsi="Times New Roman" w:cs="Times New Roman"/>
          <w:color w:val="000000"/>
          <w:sz w:val="24"/>
          <w:szCs w:val="24"/>
        </w:rPr>
      </w:pPr>
    </w:p>
    <w:p w:rsidR="009609BF" w:rsidRDefault="0066183D">
      <w:pPr>
        <w:tabs>
          <w:tab w:val="left" w:pos="567"/>
          <w:tab w:val="left" w:pos="1134"/>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Ahora bien, el que durante la E.I. se encuentre permitida la aplicación del P.O., no quiere decir que lo mismo ocurra con el proceso especial de Terminación Anticipada -en adelante T.A.-, el interpretar que dentro del término oportunidad o criterio de oportunidad pueda incluirse la T.A., sería un gran error, es más, si realizamos una lectura del artículo antes citado, se evidenciará que existe  la </w:t>
      </w:r>
      <w:r>
        <w:rPr>
          <w:rFonts w:ascii="Times New Roman" w:eastAsia="Times New Roman" w:hAnsi="Times New Roman" w:cs="Times New Roman"/>
          <w:b/>
          <w:color w:val="000000"/>
          <w:sz w:val="24"/>
          <w:szCs w:val="24"/>
        </w:rPr>
        <w:t xml:space="preserve">prohibición de aplicar de este criterio en el caso de funcionarios públicos que hayan cometido ilícitos en el </w:t>
      </w:r>
      <w:r>
        <w:rPr>
          <w:rFonts w:ascii="Times New Roman" w:eastAsia="Times New Roman" w:hAnsi="Times New Roman" w:cs="Times New Roman"/>
          <w:b/>
          <w:color w:val="000000"/>
          <w:sz w:val="24"/>
          <w:szCs w:val="24"/>
        </w:rPr>
        <w:lastRenderedPageBreak/>
        <w:t xml:space="preserve">ejercicio de su cargo, </w:t>
      </w:r>
      <w:r>
        <w:rPr>
          <w:rFonts w:ascii="Times New Roman" w:eastAsia="Times New Roman" w:hAnsi="Times New Roman" w:cs="Times New Roman"/>
          <w:color w:val="000000"/>
          <w:sz w:val="24"/>
          <w:szCs w:val="24"/>
        </w:rPr>
        <w:t>lo que denota que estamos frente al P.O. y no a la T.A., esto también ocurre en nuestro sistema de administración de justicia, por citar un ejemplo, en los delitos contra la Administración Pública en específico en los delitos de Corrupción de Funcionaros, no resulta posible la aplicación de un P.O.; sin embargo, si se puede incoar la T.A..</w:t>
      </w: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 Proceso Especial de Terminación </w:t>
      </w:r>
      <w:proofErr w:type="gramStart"/>
      <w:r>
        <w:rPr>
          <w:rFonts w:ascii="Times New Roman" w:eastAsia="Times New Roman" w:hAnsi="Times New Roman" w:cs="Times New Roman"/>
          <w:b/>
          <w:color w:val="000000"/>
          <w:sz w:val="28"/>
          <w:szCs w:val="28"/>
        </w:rPr>
        <w:t>Anticipada.-</w:t>
      </w:r>
      <w:proofErr w:type="gramEnd"/>
      <w:r>
        <w:rPr>
          <w:rFonts w:ascii="Times New Roman" w:eastAsia="Times New Roman" w:hAnsi="Times New Roman" w:cs="Times New Roman"/>
          <w:b/>
          <w:color w:val="000000"/>
          <w:sz w:val="28"/>
          <w:szCs w:val="28"/>
        </w:rPr>
        <w:t xml:space="preserve"> </w:t>
      </w:r>
    </w:p>
    <w:p w:rsidR="009609BF" w:rsidRDefault="009609BF">
      <w:pPr>
        <w:spacing w:after="0" w:line="276" w:lineRule="auto"/>
        <w:jc w:val="both"/>
        <w:rPr>
          <w:rFonts w:ascii="Times New Roman" w:eastAsia="Times New Roman" w:hAnsi="Times New Roman" w:cs="Times New Roman"/>
          <w:b/>
          <w:color w:val="000000"/>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4.1. </w:t>
      </w:r>
      <w:proofErr w:type="gramStart"/>
      <w:r>
        <w:rPr>
          <w:rFonts w:ascii="Times New Roman" w:eastAsia="Times New Roman" w:hAnsi="Times New Roman" w:cs="Times New Roman"/>
          <w:b/>
          <w:color w:val="000000"/>
          <w:sz w:val="28"/>
          <w:szCs w:val="28"/>
        </w:rPr>
        <w:t>Antecedentes.-</w:t>
      </w:r>
      <w:proofErr w:type="gramEnd"/>
      <w:r>
        <w:rPr>
          <w:rFonts w:ascii="Times New Roman" w:eastAsia="Times New Roman" w:hAnsi="Times New Roman" w:cs="Times New Roman"/>
          <w:b/>
          <w:color w:val="000000"/>
          <w:sz w:val="28"/>
          <w:szCs w:val="28"/>
        </w:rPr>
        <w:t xml:space="preserve">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4.1.a. Código Procesal Penal Modelo para Iberoamérica de 1989.-</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El </w:t>
      </w:r>
      <w:r>
        <w:rPr>
          <w:rFonts w:ascii="Times New Roman" w:eastAsia="Times New Roman" w:hAnsi="Times New Roman" w:cs="Times New Roman"/>
          <w:color w:val="000000"/>
          <w:sz w:val="24"/>
          <w:szCs w:val="24"/>
        </w:rPr>
        <w:t xml:space="preserve">C.P.P.M.I. 1989, fue gestado como un modelo orientador a seguir, más no a replicar, es decir, se buscó evitar caer en lo denominado como ley importada, es por ello que considero acertado lo señalado por el profesor Llobet Rodríguez: </w:t>
      </w:r>
    </w:p>
    <w:p w:rsidR="009609BF" w:rsidRDefault="009609BF">
      <w:pPr>
        <w:spacing w:after="0" w:line="276" w:lineRule="auto"/>
        <w:ind w:firstLine="567"/>
        <w:jc w:val="both"/>
        <w:rPr>
          <w:rFonts w:ascii="Times New Roman" w:eastAsia="Times New Roman" w:hAnsi="Times New Roman" w:cs="Times New Roman"/>
          <w:color w:val="000000"/>
          <w:sz w:val="24"/>
          <w:szCs w:val="24"/>
        </w:rPr>
      </w:pPr>
    </w:p>
    <w:p w:rsidR="009609BF" w:rsidRDefault="0066183D">
      <w:pPr>
        <w:spacing w:after="0" w:line="276"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lo que pretende el proyecto no es que sea acogido en su totalidad por los diversos países latinoamericanos, sino servir de Modelo para que los diferentes países latinoamericanos lo adopten haciéndole las adaptaciones del caso. Se trata de encausar la reforma procesal dentro del respeto de los derechos humanos” (1993, p. 38).  </w:t>
      </w:r>
    </w:p>
    <w:p w:rsidR="009609BF" w:rsidRDefault="009609BF">
      <w:pPr>
        <w:spacing w:after="0" w:line="276" w:lineRule="auto"/>
        <w:ind w:left="567"/>
        <w:jc w:val="both"/>
        <w:rPr>
          <w:rFonts w:ascii="Times New Roman" w:eastAsia="Times New Roman" w:hAnsi="Times New Roman" w:cs="Times New Roman"/>
          <w:sz w:val="28"/>
          <w:szCs w:val="28"/>
        </w:rPr>
      </w:pPr>
    </w:p>
    <w:p w:rsidR="009609BF" w:rsidRDefault="0066183D">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teniendo en consideración que el proyecto de cuerpo normativo antes mencionado, es fuente de orientación de nuestro N.C.P.P. 2004, es de resaltar que este en sentido similar a nuestra legislación interna, reguló un proceso penal común, así como algunos procesos especiales, a continuación me remitiré a los artículos 371 al 373 del C.P.P.M.I. 1989, el cual dio pautas de un procedimiento denominado abreviado, el cual considero es el antecedente del proceso especial T.A. -como se concibe hoy en día-. </w:t>
      </w:r>
    </w:p>
    <w:p w:rsidR="009609BF" w:rsidRDefault="009609BF">
      <w:pPr>
        <w:spacing w:after="0" w:line="276" w:lineRule="auto"/>
        <w:ind w:left="567"/>
        <w:jc w:val="both"/>
        <w:rPr>
          <w:rFonts w:ascii="Times New Roman" w:eastAsia="Times New Roman" w:hAnsi="Times New Roman" w:cs="Times New Roman"/>
          <w:b/>
          <w:sz w:val="28"/>
          <w:szCs w:val="28"/>
        </w:rPr>
      </w:pPr>
    </w:p>
    <w:p w:rsidR="009609BF" w:rsidRDefault="0066183D">
      <w:pPr>
        <w:spacing w:after="0" w:line="276"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 I – Procedimiento abreviado.</w:t>
      </w:r>
    </w:p>
    <w:p w:rsidR="009609BF" w:rsidRDefault="009609BF">
      <w:pPr>
        <w:spacing w:after="0" w:line="276" w:lineRule="auto"/>
        <w:ind w:left="567"/>
        <w:jc w:val="both"/>
        <w:rPr>
          <w:rFonts w:ascii="Times New Roman" w:eastAsia="Times New Roman" w:hAnsi="Times New Roman" w:cs="Times New Roman"/>
          <w:b/>
          <w:sz w:val="8"/>
          <w:szCs w:val="8"/>
        </w:rPr>
      </w:pPr>
    </w:p>
    <w:p w:rsidR="009609BF" w:rsidRDefault="0066183D">
      <w:pPr>
        <w:spacing w:after="0" w:line="276"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371.- </w:t>
      </w:r>
      <w:proofErr w:type="gramStart"/>
      <w:r>
        <w:rPr>
          <w:rFonts w:ascii="Times New Roman" w:eastAsia="Times New Roman" w:hAnsi="Times New Roman" w:cs="Times New Roman"/>
          <w:b/>
          <w:sz w:val="24"/>
          <w:szCs w:val="24"/>
        </w:rPr>
        <w:t>Admisibilidad.-</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Si el Ministerio  Público estimare suficiente la imposición  de una pena  no  mayor a dos años de privación de libertad, o de  una pena  no  privativa de libertad,  aun  en forma conjunta,  </w:t>
      </w:r>
      <w:r>
        <w:rPr>
          <w:rFonts w:ascii="Times New Roman" w:eastAsia="Times New Roman" w:hAnsi="Times New Roman" w:cs="Times New Roman"/>
          <w:b/>
          <w:sz w:val="24"/>
          <w:szCs w:val="24"/>
        </w:rPr>
        <w:t xml:space="preserve">podrá solicitar que  se proceda  según  este  título,  concretando su  requerimiento ante  el tribunal del  procedimiento intermedio. Para </w:t>
      </w:r>
      <w:proofErr w:type="gramStart"/>
      <w:r>
        <w:rPr>
          <w:rFonts w:ascii="Times New Roman" w:eastAsia="Times New Roman" w:hAnsi="Times New Roman" w:cs="Times New Roman"/>
          <w:b/>
          <w:sz w:val="24"/>
          <w:szCs w:val="24"/>
        </w:rPr>
        <w:t>ello,  el</w:t>
      </w:r>
      <w:proofErr w:type="gramEnd"/>
      <w:r>
        <w:rPr>
          <w:rFonts w:ascii="Times New Roman" w:eastAsia="Times New Roman" w:hAnsi="Times New Roman" w:cs="Times New Roman"/>
          <w:b/>
          <w:sz w:val="24"/>
          <w:szCs w:val="24"/>
        </w:rPr>
        <w:t xml:space="preserve">  Ministerio  Público deberá contar con  el  acuerdo del imputado y su  defensor, que se extenderá a la admisión  del hecho descrito  en  la acusación  y su participación  en  él,  y  a la vía propuesta. </w:t>
      </w:r>
      <w:proofErr w:type="gramStart"/>
      <w:r>
        <w:rPr>
          <w:rFonts w:ascii="Times New Roman" w:eastAsia="Times New Roman" w:hAnsi="Times New Roman" w:cs="Times New Roman"/>
          <w:b/>
          <w:sz w:val="24"/>
          <w:szCs w:val="24"/>
        </w:rPr>
        <w:t>La  existencia</w:t>
      </w:r>
      <w:proofErr w:type="gramEnd"/>
      <w:r>
        <w:rPr>
          <w:rFonts w:ascii="Times New Roman" w:eastAsia="Times New Roman" w:hAnsi="Times New Roman" w:cs="Times New Roman"/>
          <w:b/>
          <w:sz w:val="24"/>
          <w:szCs w:val="24"/>
        </w:rPr>
        <w:t xml:space="preserve"> de varios  imputados en  un  mismo procedimiento no  inhibirá  la  aplicación  de estas reglas a alguno de ellos</w:t>
      </w:r>
      <w:r>
        <w:rPr>
          <w:rFonts w:ascii="Times New Roman" w:eastAsia="Times New Roman" w:hAnsi="Times New Roman" w:cs="Times New Roman"/>
          <w:sz w:val="24"/>
          <w:szCs w:val="24"/>
        </w:rPr>
        <w:t xml:space="preserve">. </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spacing w:after="0" w:line="276"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372.- Trámite </w:t>
      </w:r>
      <w:proofErr w:type="gramStart"/>
      <w:r>
        <w:rPr>
          <w:rFonts w:ascii="Times New Roman" w:eastAsia="Times New Roman" w:hAnsi="Times New Roman" w:cs="Times New Roman"/>
          <w:b/>
          <w:sz w:val="24"/>
          <w:szCs w:val="24"/>
        </w:rPr>
        <w:t>posterior.-</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El  tribunal oirá al  imputado y  dictará la resolución  que corresponda,  sin  más trámite. </w:t>
      </w:r>
      <w:r>
        <w:rPr>
          <w:rFonts w:ascii="Times New Roman" w:eastAsia="Times New Roman" w:hAnsi="Times New Roman" w:cs="Times New Roman"/>
          <w:b/>
          <w:sz w:val="24"/>
          <w:szCs w:val="24"/>
        </w:rPr>
        <w:t xml:space="preserve">El </w:t>
      </w:r>
      <w:proofErr w:type="gramStart"/>
      <w:r>
        <w:rPr>
          <w:rFonts w:ascii="Times New Roman" w:eastAsia="Times New Roman" w:hAnsi="Times New Roman" w:cs="Times New Roman"/>
          <w:b/>
          <w:sz w:val="24"/>
          <w:szCs w:val="24"/>
        </w:rPr>
        <w:t>tribunal  podrá</w:t>
      </w:r>
      <w:proofErr w:type="gramEnd"/>
      <w:r>
        <w:rPr>
          <w:rFonts w:ascii="Times New Roman" w:eastAsia="Times New Roman" w:hAnsi="Times New Roman" w:cs="Times New Roman"/>
          <w:b/>
          <w:sz w:val="24"/>
          <w:szCs w:val="24"/>
        </w:rPr>
        <w:t xml:space="preserve"> absolver o condenar</w:t>
      </w:r>
      <w:r>
        <w:rPr>
          <w:rFonts w:ascii="Times New Roman" w:eastAsia="Times New Roman" w:hAnsi="Times New Roman" w:cs="Times New Roman"/>
          <w:sz w:val="24"/>
          <w:szCs w:val="24"/>
        </w:rPr>
        <w:t xml:space="preserve">, según  corresponda, fundando  su resolución en el hecho descripto en la acusación, admitido por el imputado; pero la  condena nunca  podrá superar la pena requerida por  el ministerio público.  </w:t>
      </w:r>
      <w:proofErr w:type="gramStart"/>
      <w:r>
        <w:rPr>
          <w:rFonts w:ascii="Times New Roman" w:eastAsia="Times New Roman" w:hAnsi="Times New Roman" w:cs="Times New Roman"/>
          <w:sz w:val="24"/>
          <w:szCs w:val="24"/>
        </w:rPr>
        <w:t>Rigen,  en</w:t>
      </w:r>
      <w:proofErr w:type="gramEnd"/>
      <w:r>
        <w:rPr>
          <w:rFonts w:ascii="Times New Roman" w:eastAsia="Times New Roman" w:hAnsi="Times New Roman" w:cs="Times New Roman"/>
          <w:sz w:val="24"/>
          <w:szCs w:val="24"/>
        </w:rPr>
        <w:t xml:space="preserve">  lo pertinente,  las  reglas de la  sentencia. </w:t>
      </w:r>
      <w:proofErr w:type="gramStart"/>
      <w:r>
        <w:rPr>
          <w:rFonts w:ascii="Times New Roman" w:eastAsia="Times New Roman" w:hAnsi="Times New Roman" w:cs="Times New Roman"/>
          <w:b/>
          <w:sz w:val="24"/>
          <w:szCs w:val="24"/>
        </w:rPr>
        <w:t>Si  el</w:t>
      </w:r>
      <w:proofErr w:type="gramEnd"/>
      <w:r>
        <w:rPr>
          <w:rFonts w:ascii="Times New Roman" w:eastAsia="Times New Roman" w:hAnsi="Times New Roman" w:cs="Times New Roman"/>
          <w:b/>
          <w:sz w:val="24"/>
          <w:szCs w:val="24"/>
        </w:rPr>
        <w:t xml:space="preserve">  tribunal  no admitiere la vía solicitada y estimare conveniente el  procedimiento común,  para un mejor conocimiento de  los hechos o ante  la posibilidad de que  corresponda una  pena superior a la requerida, rechazará el requerimiento y emplazará al Ministerio Público para que  concluya  la investigación  y  requiera lo que corresponda.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En  este</w:t>
      </w:r>
      <w:proofErr w:type="gramEnd"/>
      <w:r>
        <w:rPr>
          <w:rFonts w:ascii="Times New Roman" w:eastAsia="Times New Roman" w:hAnsi="Times New Roman" w:cs="Times New Roman"/>
          <w:sz w:val="24"/>
          <w:szCs w:val="24"/>
        </w:rPr>
        <w:t xml:space="preserve"> caso, el  requerimiento anterior sobre la  pena no  vincula al  ministerio  público durante el debate. </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spacing w:after="0" w:line="276"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373.- </w:t>
      </w:r>
      <w:proofErr w:type="gramStart"/>
      <w:r>
        <w:rPr>
          <w:rFonts w:ascii="Times New Roman" w:eastAsia="Times New Roman" w:hAnsi="Times New Roman" w:cs="Times New Roman"/>
          <w:b/>
          <w:sz w:val="24"/>
          <w:szCs w:val="24"/>
        </w:rPr>
        <w:t>Efectos.-</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Contra la sentencia será sólo  admisible el recurso de casación, interpuesto por el ministerio público o por el imputado y su  defensor. </w:t>
      </w:r>
      <w:proofErr w:type="gramStart"/>
      <w:r>
        <w:rPr>
          <w:rFonts w:ascii="Times New Roman" w:eastAsia="Times New Roman" w:hAnsi="Times New Roman" w:cs="Times New Roman"/>
          <w:sz w:val="24"/>
          <w:szCs w:val="24"/>
        </w:rPr>
        <w:t>El  querellante</w:t>
      </w:r>
      <w:proofErr w:type="gramEnd"/>
      <w:r>
        <w:rPr>
          <w:rFonts w:ascii="Times New Roman" w:eastAsia="Times New Roman" w:hAnsi="Times New Roman" w:cs="Times New Roman"/>
          <w:sz w:val="24"/>
          <w:szCs w:val="24"/>
        </w:rPr>
        <w:t xml:space="preserve">, o quien sin éxito, pero con derecho, haya pretendido serlo durante el procedimiento preparatorio, tendrá las facultades previstas en los arts.  339 y 340; no </w:t>
      </w:r>
      <w:proofErr w:type="gramStart"/>
      <w:r>
        <w:rPr>
          <w:rFonts w:ascii="Times New Roman" w:eastAsia="Times New Roman" w:hAnsi="Times New Roman" w:cs="Times New Roman"/>
          <w:sz w:val="24"/>
          <w:szCs w:val="24"/>
        </w:rPr>
        <w:t>podrá,  sin</w:t>
      </w:r>
      <w:proofErr w:type="gramEnd"/>
      <w:r>
        <w:rPr>
          <w:rFonts w:ascii="Times New Roman" w:eastAsia="Times New Roman" w:hAnsi="Times New Roman" w:cs="Times New Roman"/>
          <w:sz w:val="24"/>
          <w:szCs w:val="24"/>
        </w:rPr>
        <w:t xml:space="preserve"> embargo, agraviarse por la vía elegida o pretender la imposición de una  pena superior a la requerida por el ministerio público. La acción civil no </w:t>
      </w:r>
      <w:proofErr w:type="gramStart"/>
      <w:r>
        <w:rPr>
          <w:rFonts w:ascii="Times New Roman" w:eastAsia="Times New Roman" w:hAnsi="Times New Roman" w:cs="Times New Roman"/>
          <w:sz w:val="24"/>
          <w:szCs w:val="24"/>
        </w:rPr>
        <w:t>será  decidida</w:t>
      </w:r>
      <w:proofErr w:type="gramEnd"/>
      <w:r>
        <w:rPr>
          <w:rFonts w:ascii="Times New Roman" w:eastAsia="Times New Roman" w:hAnsi="Times New Roman" w:cs="Times New Roman"/>
          <w:sz w:val="24"/>
          <w:szCs w:val="24"/>
        </w:rPr>
        <w:t xml:space="preserve">  y se  podrá deducir nuevamente ante el  tribunal  competente. Sin embargo, quienes fueron admitidos como partes civiles podrán interponer el recurso de casación, con las limitaciones del art.  332 </w:t>
      </w:r>
      <w:proofErr w:type="gramStart"/>
      <w:r>
        <w:rPr>
          <w:rFonts w:ascii="Times New Roman" w:eastAsia="Times New Roman" w:hAnsi="Times New Roman" w:cs="Times New Roman"/>
          <w:sz w:val="24"/>
          <w:szCs w:val="24"/>
        </w:rPr>
        <w:t>y  sólo</w:t>
      </w:r>
      <w:proofErr w:type="gramEnd"/>
      <w:r>
        <w:rPr>
          <w:rFonts w:ascii="Times New Roman" w:eastAsia="Times New Roman" w:hAnsi="Times New Roman" w:cs="Times New Roman"/>
          <w:sz w:val="24"/>
          <w:szCs w:val="24"/>
        </w:rPr>
        <w:t xml:space="preserve">  en  la medida en  que la sentencia influya sobre el resultado de una reclamación civil posterior. (Código Procesal Penal Modelo para Iberoamérica, 1989).</w:t>
      </w:r>
    </w:p>
    <w:p w:rsidR="009609BF" w:rsidRDefault="009609BF">
      <w:pPr>
        <w:spacing w:after="0" w:line="276" w:lineRule="auto"/>
        <w:jc w:val="both"/>
        <w:rPr>
          <w:rFonts w:ascii="Times New Roman" w:eastAsia="Times New Roman" w:hAnsi="Times New Roman" w:cs="Times New Roman"/>
          <w:b/>
          <w:color w:val="000000"/>
          <w:sz w:val="28"/>
          <w:szCs w:val="28"/>
        </w:rPr>
      </w:pPr>
    </w:p>
    <w:p w:rsidR="009609BF" w:rsidRDefault="0066183D">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 proceso abreviado, muestra similitudes con el proceso especial de T.A. - como se concibe hoy en día -, es de recalcar que este precisa pautas destinadas a estimular la denominada justicia penal negociada o consensuada, la misma que permitirá concluir el proceso penal sin tener que llegar hasta el juzgamiento de la causa; ahora bien, es importante prestar especial a las acciones que se señalan tendrá que adoptar el Fiscal ante el rechazo de la incoación de este procedimiento especial por parte del tribunal, s</w:t>
      </w:r>
      <w:r>
        <w:rPr>
          <w:rFonts w:ascii="Times New Roman" w:eastAsia="Times New Roman" w:hAnsi="Times New Roman" w:cs="Times New Roman"/>
          <w:b/>
          <w:sz w:val="24"/>
          <w:szCs w:val="24"/>
        </w:rPr>
        <w:t xml:space="preserve">i  el  tribunal  no admitiere la vía solicitada y estimare conveniente el  procedimiento común … rechazará el requerimiento y emplazará al Ministerio Público para que  concluya  la investigación  y  requiera lo que corresponda, </w:t>
      </w:r>
      <w:r>
        <w:rPr>
          <w:rFonts w:ascii="Times New Roman" w:eastAsia="Times New Roman" w:hAnsi="Times New Roman" w:cs="Times New Roman"/>
          <w:sz w:val="24"/>
          <w:szCs w:val="24"/>
        </w:rPr>
        <w:t xml:space="preserve">esto denota que este procedimiento abreviado, se tramitará por vía independiente sin afectar la causa principal, por ello precisa que en caso este sea rechazado el Ministerio Público deberá de concluir la investigación y emitir el requerimiento que corresponda, el deberá de concluir no debe de interpretarse como finalizar de forma inmediata, sino en su oportunidad, es más, al señalar de forma expresa que deberá concluir la investigación, quiere decir que durante la incoación de este procedimiento especial, esta se encontrará vigente, lo que también permite vislumbrar una prohibición de que este sea incoado durante la etapa de preparación de juicio o E.I., ya que esta cumple otra función, que </w:t>
      </w:r>
      <w:r>
        <w:rPr>
          <w:rFonts w:ascii="Times New Roman" w:eastAsia="Times New Roman" w:hAnsi="Times New Roman" w:cs="Times New Roman"/>
          <w:sz w:val="24"/>
          <w:szCs w:val="24"/>
        </w:rPr>
        <w:lastRenderedPageBreak/>
        <w:t>será “determinar si existe sospecha suficiente para elevar la causa a juicio, evitando juicios inútiles y garantizando el derecho de defensa” (</w:t>
      </w:r>
      <w:r>
        <w:rPr>
          <w:rFonts w:ascii="Times New Roman" w:eastAsia="Times New Roman" w:hAnsi="Times New Roman" w:cs="Times New Roman"/>
          <w:color w:val="000000"/>
          <w:sz w:val="24"/>
          <w:szCs w:val="24"/>
        </w:rPr>
        <w:t>Llobet Rodríguez, 1993, p. 112</w:t>
      </w:r>
      <w:r>
        <w:rPr>
          <w:rFonts w:ascii="Times New Roman" w:eastAsia="Times New Roman" w:hAnsi="Times New Roman" w:cs="Times New Roman"/>
          <w:sz w:val="24"/>
          <w:szCs w:val="24"/>
        </w:rPr>
        <w:t xml:space="preserve">). </w:t>
      </w:r>
    </w:p>
    <w:p w:rsidR="009609BF" w:rsidRDefault="009609BF">
      <w:pPr>
        <w:spacing w:after="0" w:line="276" w:lineRule="auto"/>
        <w:ind w:firstLine="567"/>
        <w:jc w:val="both"/>
        <w:rPr>
          <w:rFonts w:ascii="Times New Roman" w:eastAsia="Times New Roman" w:hAnsi="Times New Roman" w:cs="Times New Roman"/>
          <w:color w:val="000000"/>
          <w:sz w:val="24"/>
          <w:szCs w:val="24"/>
        </w:rPr>
      </w:pP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4.1.b. Ley N.º 26320 de fecha 03/05/1994.- </w:t>
      </w:r>
    </w:p>
    <w:p w:rsidR="009609BF" w:rsidRDefault="009609BF">
      <w:pPr>
        <w:spacing w:after="0" w:line="276" w:lineRule="auto"/>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La </w:t>
      </w:r>
      <w:r>
        <w:rPr>
          <w:rFonts w:ascii="Times New Roman" w:eastAsia="Times New Roman" w:hAnsi="Times New Roman" w:cs="Times New Roman"/>
          <w:b/>
          <w:color w:val="000000"/>
          <w:sz w:val="24"/>
          <w:szCs w:val="24"/>
        </w:rPr>
        <w:t>Ley N.º 26320</w:t>
      </w:r>
      <w:r>
        <w:rPr>
          <w:rFonts w:ascii="Times New Roman" w:eastAsia="Times New Roman" w:hAnsi="Times New Roman" w:cs="Times New Roman"/>
          <w:color w:val="000000"/>
          <w:sz w:val="24"/>
          <w:szCs w:val="24"/>
        </w:rPr>
        <w:t xml:space="preserve"> de fecha 03 de mayo de 1994 o </w:t>
      </w:r>
      <w:r>
        <w:rPr>
          <w:rFonts w:ascii="Times New Roman" w:eastAsia="Times New Roman" w:hAnsi="Times New Roman" w:cs="Times New Roman"/>
          <w:b/>
          <w:color w:val="000000"/>
          <w:sz w:val="24"/>
          <w:szCs w:val="24"/>
        </w:rPr>
        <w:t>Ley que dicta normas referidas a los procesos por delito de tráfico ilícito de drogas y establecen beneficio</w:t>
      </w:r>
      <w:r>
        <w:rPr>
          <w:rFonts w:ascii="Times New Roman" w:eastAsia="Times New Roman" w:hAnsi="Times New Roman" w:cs="Times New Roman"/>
          <w:color w:val="000000"/>
          <w:sz w:val="24"/>
          <w:szCs w:val="24"/>
        </w:rPr>
        <w:t xml:space="preserve">s, es el primer antecedente que existe en nuestra legislación respecto a lo que hoy en día conocemos como T.A., para su introducción los legisladores nacionales se inspiraron en la regulación de este tipo de proceso especial en el vecino país de Colombia, el primero en nuestra región en incorporar pautas sobre la negociación o consenso en el proceso penal. La mencionada ley, reguló la T.A., de la siguiente forma: </w:t>
      </w:r>
    </w:p>
    <w:p w:rsidR="009609BF" w:rsidRDefault="009609BF">
      <w:pPr>
        <w:spacing w:after="0" w:line="276" w:lineRule="auto"/>
        <w:jc w:val="both"/>
        <w:rPr>
          <w:rFonts w:ascii="Times New Roman" w:eastAsia="Times New Roman" w:hAnsi="Times New Roman" w:cs="Times New Roman"/>
          <w:color w:val="FF0000"/>
          <w:sz w:val="24"/>
          <w:szCs w:val="24"/>
          <w:highlight w:val="yellow"/>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2.-</w:t>
      </w:r>
      <w:r>
        <w:rPr>
          <w:rFonts w:ascii="Times New Roman" w:eastAsia="Times New Roman" w:hAnsi="Times New Roman" w:cs="Times New Roman"/>
          <w:color w:val="000000"/>
          <w:sz w:val="24"/>
          <w:szCs w:val="24"/>
        </w:rPr>
        <w:t xml:space="preserve"> Los procesos por delito de tráfico ilícito de drogas previsto en los artículos 296, 298, 300, 301 y 302 del Código Penal, </w:t>
      </w:r>
      <w:r>
        <w:rPr>
          <w:rFonts w:ascii="Times New Roman" w:eastAsia="Times New Roman" w:hAnsi="Times New Roman" w:cs="Times New Roman"/>
          <w:b/>
          <w:color w:val="000000"/>
          <w:sz w:val="24"/>
          <w:szCs w:val="24"/>
        </w:rPr>
        <w:t>podrán terminar anticipadamente.</w:t>
      </w:r>
      <w:r>
        <w:rPr>
          <w:rFonts w:ascii="Times New Roman" w:eastAsia="Times New Roman" w:hAnsi="Times New Roman" w:cs="Times New Roman"/>
          <w:color w:val="000000"/>
          <w:sz w:val="24"/>
          <w:szCs w:val="24"/>
        </w:rPr>
        <w:t xml:space="preserve"> El procedimiento observará las siguientes reglas:</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3"/>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iniciativa del Ministerio Público o del proceso, el Juez dispondrá, en cualquier momento </w:t>
      </w:r>
      <w:r>
        <w:rPr>
          <w:rFonts w:ascii="Times New Roman" w:eastAsia="Times New Roman" w:hAnsi="Times New Roman" w:cs="Times New Roman"/>
          <w:b/>
          <w:color w:val="000000"/>
          <w:sz w:val="24"/>
          <w:szCs w:val="24"/>
        </w:rPr>
        <w:t>una vez iniciado el proceso y antes que culmine el plazo de instrucción o investigación, o, en su caso, el plazo complementario,</w:t>
      </w:r>
      <w:r>
        <w:rPr>
          <w:rFonts w:ascii="Times New Roman" w:eastAsia="Times New Roman" w:hAnsi="Times New Roman" w:cs="Times New Roman"/>
          <w:color w:val="000000"/>
          <w:sz w:val="24"/>
          <w:szCs w:val="24"/>
        </w:rPr>
        <w:t xml:space="preserve"> pero por una sola vez, la celebración de una audiencia especial y privada, que se realizará en cuaderno aparte con la sola asistencia de dichos sujetos procesales y del abogado defensor.</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3"/>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esta audiencia, </w:t>
      </w:r>
      <w:r>
        <w:rPr>
          <w:rFonts w:ascii="Times New Roman" w:eastAsia="Times New Roman" w:hAnsi="Times New Roman" w:cs="Times New Roman"/>
          <w:b/>
          <w:color w:val="000000"/>
          <w:sz w:val="24"/>
          <w:szCs w:val="24"/>
        </w:rPr>
        <w:t>el Fiscal presentará los cargos que de acuerdo con la investigación surjan contra el procesado y éste tendrá la oportunidad de aceptarlos, en todo o en parte, o rechazarlos</w:t>
      </w:r>
      <w:r>
        <w:rPr>
          <w:rFonts w:ascii="Times New Roman" w:eastAsia="Times New Roman" w:hAnsi="Times New Roman" w:cs="Times New Roman"/>
          <w:color w:val="000000"/>
          <w:sz w:val="24"/>
          <w:szCs w:val="24"/>
        </w:rPr>
        <w:t>. El Juez deberá explicar al procesado los alcances y consecuencias de acuerdo y las limitaciones que representa a la posibilidad de controvertir su responsabilidad.</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3"/>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Si el Fiscal y el procesado llegan a un acuerdo acerca de las circunstancias del hecho punible y de la pena a imponer, así lo declararán ante el Juez, debiéndose consignar expresamente en el acta respectiva. El procesado podrá condicionar el acuerdo a que no se le imponga pena privativa de libertad efectiva, cuando ello sea procedente de acuerdo a las posibilidades del Código Penal.</w:t>
      </w:r>
      <w:r>
        <w:rPr>
          <w:rFonts w:ascii="Times New Roman" w:eastAsia="Times New Roman" w:hAnsi="Times New Roman" w:cs="Times New Roman"/>
          <w:color w:val="000000"/>
          <w:sz w:val="24"/>
          <w:szCs w:val="24"/>
        </w:rPr>
        <w:t xml:space="preserve"> El Juez tendrá cuarentaiocho horas para dictar sentencia.</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3"/>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 el Juez considere que la calificación jurídica del hecho punible y la pena a imponer, de conformidad a lo acordado por los sujetos procesales, son correctas y obra prueba suficiente, dispondrá en la sentencia de aplicación de la pena indicada y la reparación civil, enunciando en su parte resolutiva que ha habido acuerdo de los sujetos procesales. </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3"/>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El acuerdo del procesado y el Fiscal es inoponible a la parte civil. </w:t>
      </w:r>
      <w:r>
        <w:rPr>
          <w:rFonts w:ascii="Times New Roman" w:eastAsia="Times New Roman" w:hAnsi="Times New Roman" w:cs="Times New Roman"/>
          <w:b/>
          <w:color w:val="000000"/>
          <w:sz w:val="24"/>
          <w:szCs w:val="24"/>
        </w:rPr>
        <w:t>La sentencia aprobatoria del acuerdo subirá en consulta a la Sala Penal. El auto que lo deniega es apelable en un solo efecto,</w:t>
      </w:r>
      <w:r>
        <w:rPr>
          <w:rFonts w:ascii="Times New Roman" w:eastAsia="Times New Roman" w:hAnsi="Times New Roman" w:cs="Times New Roman"/>
          <w:color w:val="000000"/>
          <w:sz w:val="24"/>
          <w:szCs w:val="24"/>
        </w:rPr>
        <w:t xml:space="preserve"> en el término de un día por el procesado o por el Ministerio Público. La Parte Civil sólo podrá solicitar a la Sala Penal el incremento del monto de la reparación civil.</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3"/>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En el supuesto de procesos complejos, ya sea por el número de delitos -incluidos los conexos con el tráfico ilícito de drogas, siempre que no sean de mayor gravedad que éste – o de los inculpados, se requerirá el acuerdo de todos estos y por todos los cargos que impute a cada uno. Sin embargo, el Juez podrá aprobar acuerdos parciales, siempre y cuando se trate de hechos punibles independientes,</w:t>
      </w:r>
      <w:r>
        <w:rPr>
          <w:rFonts w:ascii="Times New Roman" w:eastAsia="Times New Roman" w:hAnsi="Times New Roman" w:cs="Times New Roman"/>
          <w:color w:val="000000"/>
          <w:sz w:val="24"/>
          <w:szCs w:val="24"/>
        </w:rPr>
        <w:t xml:space="preserve"> en la medida en que los procesados, individualmente considerados, acepten la integridad de los cargos que se les incrimina.</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3"/>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Cuando no se llegue a un acuerdo o éste no sea aprobado, el Fiscal y el Juez que participaron en la audiencia deberán ser reemplazados por otros que tengan la misma competencia. En este caso </w:t>
      </w:r>
      <w:r>
        <w:rPr>
          <w:rFonts w:ascii="Times New Roman" w:eastAsia="Times New Roman" w:hAnsi="Times New Roman" w:cs="Times New Roman"/>
          <w:b/>
          <w:color w:val="000000"/>
          <w:sz w:val="24"/>
          <w:szCs w:val="24"/>
        </w:rPr>
        <w:t>cualquier declaración hecha por el procesado se tendrá como inexistente y no podrá ser utilizada en su contra</w:t>
      </w:r>
      <w:r>
        <w:rPr>
          <w:rFonts w:ascii="Times New Roman" w:eastAsia="Times New Roman" w:hAnsi="Times New Roman" w:cs="Times New Roman"/>
          <w:color w:val="000000"/>
          <w:sz w:val="24"/>
          <w:szCs w:val="24"/>
        </w:rPr>
        <w:t>.</w:t>
      </w:r>
    </w:p>
    <w:p w:rsidR="009609BF" w:rsidRDefault="009609BF">
      <w:pPr>
        <w:spacing w:after="0" w:line="276" w:lineRule="auto"/>
        <w:ind w:left="567"/>
        <w:jc w:val="both"/>
        <w:rPr>
          <w:rFonts w:ascii="Times New Roman" w:eastAsia="Times New Roman" w:hAnsi="Times New Roman" w:cs="Times New Roman"/>
          <w:b/>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3.-</w:t>
      </w:r>
      <w:r>
        <w:rPr>
          <w:rFonts w:ascii="Times New Roman" w:eastAsia="Times New Roman" w:hAnsi="Times New Roman" w:cs="Times New Roman"/>
          <w:color w:val="000000"/>
          <w:sz w:val="24"/>
          <w:szCs w:val="24"/>
        </w:rPr>
        <w:t xml:space="preserve"> El inculpado que se acoja a este proceso especial recibirá un beneficio de rebaja de la pena de una sexta parte. Este beneficio es adicional y se acumulará al que reciba por confesión. (Ley N.º 26320, 1994).</w:t>
      </w:r>
    </w:p>
    <w:p w:rsidR="009609BF" w:rsidRDefault="009609BF">
      <w:pPr>
        <w:tabs>
          <w:tab w:val="left" w:pos="567"/>
        </w:tabs>
        <w:spacing w:after="0" w:line="276" w:lineRule="auto"/>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Pese a que la ley antes mencionada, no hace referencia de forma expresa a la T.A., esta si precisa que </w:t>
      </w:r>
      <w:r>
        <w:rPr>
          <w:rFonts w:ascii="Times New Roman" w:eastAsia="Times New Roman" w:hAnsi="Times New Roman" w:cs="Times New Roman"/>
          <w:b/>
          <w:color w:val="000000"/>
          <w:sz w:val="24"/>
          <w:szCs w:val="24"/>
        </w:rPr>
        <w:t xml:space="preserve">los procesos de tráfico ilícito de drogas podrán terminar anticipadamente, </w:t>
      </w:r>
      <w:r>
        <w:rPr>
          <w:rFonts w:ascii="Times New Roman" w:eastAsia="Times New Roman" w:hAnsi="Times New Roman" w:cs="Times New Roman"/>
          <w:color w:val="000000"/>
          <w:sz w:val="24"/>
          <w:szCs w:val="24"/>
        </w:rPr>
        <w:t>al realizar una comparación entre esta regulación con la actual, de forma general no evidenciaremos diferencias saltantes,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salvo que la redacción inicial solo autorizaba su incoación en delitos vinculados al tráfico ilícito de drogas; asimismo, en la redacción inicial se estableció que la sentencia aprobatoria tenía que ser elevada en consulta a la Sala Penal; así también, en la primera redacción se precisó que en caso no se llegará a un acuerdo o si este no fuera aprobado por el Juez, los funcionarios intervinientes -Fiscal y Juez- debían ser reemplazados; sin embargo, atendiendo al objeto de estudio del presente artículo, debo de recalcar </w:t>
      </w:r>
      <w:r>
        <w:rPr>
          <w:rFonts w:ascii="Times New Roman" w:eastAsia="Times New Roman" w:hAnsi="Times New Roman" w:cs="Times New Roman"/>
          <w:b/>
          <w:color w:val="000000"/>
          <w:sz w:val="24"/>
          <w:szCs w:val="24"/>
        </w:rPr>
        <w:t>la oportunidad en que podía tener lugar la incoación de este proceso especial, desde que se iniciaba el proceso, hasta antes que concluya la instrucción o investigación -incluido el plazo complementario que eventualmente podría autorizarse-, es decir, en términos generales, solo era posible su incoación hasta el momento previo a la emisión del requerimiento correspondiente, que en ese escenario, sería una A.F. o R.A..</w:t>
      </w:r>
      <w:r>
        <w:rPr>
          <w:rFonts w:ascii="Times New Roman" w:eastAsia="Times New Roman" w:hAnsi="Times New Roman" w:cs="Times New Roman"/>
          <w:color w:val="000000"/>
          <w:sz w:val="24"/>
          <w:szCs w:val="24"/>
        </w:rPr>
        <w:t xml:space="preserve">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4.1.c. Ley N.º 28008 de fecha 18/06/2003.- </w:t>
      </w:r>
    </w:p>
    <w:p w:rsidR="009609BF" w:rsidRDefault="009609BF">
      <w:pPr>
        <w:tabs>
          <w:tab w:val="left" w:pos="567"/>
        </w:tabs>
        <w:spacing w:after="0" w:line="276" w:lineRule="auto"/>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La </w:t>
      </w:r>
      <w:r>
        <w:rPr>
          <w:rFonts w:ascii="Times New Roman" w:eastAsia="Times New Roman" w:hAnsi="Times New Roman" w:cs="Times New Roman"/>
          <w:b/>
          <w:color w:val="000000"/>
          <w:sz w:val="24"/>
          <w:szCs w:val="24"/>
        </w:rPr>
        <w:t>Ley N.º 28008</w:t>
      </w:r>
      <w:r>
        <w:rPr>
          <w:rFonts w:ascii="Times New Roman" w:eastAsia="Times New Roman" w:hAnsi="Times New Roman" w:cs="Times New Roman"/>
          <w:color w:val="000000"/>
          <w:sz w:val="24"/>
          <w:szCs w:val="24"/>
        </w:rPr>
        <w:t xml:space="preserve"> de fecha 18 de junio de 2003 o </w:t>
      </w:r>
      <w:r>
        <w:rPr>
          <w:rFonts w:ascii="Times New Roman" w:eastAsia="Times New Roman" w:hAnsi="Times New Roman" w:cs="Times New Roman"/>
          <w:b/>
          <w:color w:val="000000"/>
          <w:sz w:val="24"/>
          <w:szCs w:val="24"/>
        </w:rPr>
        <w:t>Ley de Delitos Aduaneros</w:t>
      </w:r>
      <w:r>
        <w:rPr>
          <w:rFonts w:ascii="Times New Roman" w:eastAsia="Times New Roman" w:hAnsi="Times New Roman" w:cs="Times New Roman"/>
          <w:color w:val="000000"/>
          <w:sz w:val="24"/>
          <w:szCs w:val="24"/>
        </w:rPr>
        <w:t xml:space="preserve">, reformó los Delitos Aduaneros tipificados en los artículos 262 al 267 del Código Penal de 1991, y los compiló en esta ley especial; así también, es importante recalcar que introdujo pautas procesales para el tratamiento de los ilícitos de esta naturaleza; es por ello que considero esta constituye el segundo antecedente de la T.A. en nuestra legislación nacional. El marco procedimental fue regulado en su </w:t>
      </w:r>
      <w:r>
        <w:rPr>
          <w:rFonts w:ascii="Times New Roman" w:eastAsia="Times New Roman" w:hAnsi="Times New Roman" w:cs="Times New Roman"/>
          <w:b/>
          <w:color w:val="000000"/>
          <w:sz w:val="24"/>
          <w:szCs w:val="24"/>
        </w:rPr>
        <w:t>artículo 20</w:t>
      </w:r>
      <w:r>
        <w:rPr>
          <w:rFonts w:ascii="Times New Roman" w:eastAsia="Times New Roman" w:hAnsi="Times New Roman" w:cs="Times New Roman"/>
          <w:color w:val="000000"/>
          <w:sz w:val="24"/>
          <w:szCs w:val="24"/>
        </w:rPr>
        <w:t xml:space="preserve">, como describo a continuación: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ind w:left="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Artículo 20.- Conclusión anticipada del proceso por delitos </w:t>
      </w:r>
      <w:proofErr w:type="gramStart"/>
      <w:r>
        <w:rPr>
          <w:rFonts w:ascii="Times New Roman" w:eastAsia="Times New Roman" w:hAnsi="Times New Roman" w:cs="Times New Roman"/>
          <w:b/>
          <w:color w:val="000000"/>
          <w:sz w:val="24"/>
          <w:szCs w:val="24"/>
        </w:rPr>
        <w:t>aduaneros.-</w:t>
      </w:r>
      <w:proofErr w:type="gramEnd"/>
    </w:p>
    <w:p w:rsidR="009609BF" w:rsidRDefault="009609BF">
      <w:pPr>
        <w:spacing w:after="0" w:line="276" w:lineRule="auto"/>
        <w:ind w:left="567"/>
        <w:jc w:val="both"/>
        <w:rPr>
          <w:rFonts w:ascii="Times New Roman" w:eastAsia="Times New Roman" w:hAnsi="Times New Roman" w:cs="Times New Roman"/>
          <w:b/>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procesos por delitos aduaneros podrán terminar anticipadamente, observando las siguientes reglas:</w:t>
      </w:r>
    </w:p>
    <w:p w:rsidR="009609BF" w:rsidRDefault="009609BF">
      <w:pPr>
        <w:spacing w:after="0" w:line="276" w:lineRule="auto"/>
        <w:ind w:left="1134" w:hanging="567"/>
        <w:jc w:val="both"/>
        <w:rPr>
          <w:rFonts w:ascii="Times New Roman" w:eastAsia="Times New Roman" w:hAnsi="Times New Roman" w:cs="Times New Roman"/>
          <w:b/>
          <w:color w:val="000000"/>
          <w:sz w:val="8"/>
          <w:szCs w:val="8"/>
        </w:rPr>
      </w:pPr>
    </w:p>
    <w:p w:rsidR="009609BF" w:rsidRDefault="0066183D">
      <w:pPr>
        <w:numPr>
          <w:ilvl w:val="0"/>
          <w:numId w:val="1"/>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 iniciativa del Ministerio Público o del procesado el Juez dispondrá, una vez iniciado el proceso y antes de formularse la acusación fiscal, siempre que exista prueba suficiente de responsabilidad penal,</w:t>
      </w:r>
      <w:r>
        <w:rPr>
          <w:rFonts w:ascii="Times New Roman" w:eastAsia="Times New Roman" w:hAnsi="Times New Roman" w:cs="Times New Roman"/>
          <w:color w:val="000000"/>
          <w:sz w:val="24"/>
          <w:szCs w:val="24"/>
        </w:rPr>
        <w:t xml:space="preserve"> por única vez para los delitos contemplados en la presente Ley, la celebración de una audiencia especial y privada, en cuaderno aparte y con la asistencia de los sujetos procesales y del abogado defensor del procesado. </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esta audiencia, </w:t>
      </w:r>
      <w:r>
        <w:rPr>
          <w:rFonts w:ascii="Times New Roman" w:eastAsia="Times New Roman" w:hAnsi="Times New Roman" w:cs="Times New Roman"/>
          <w:b/>
          <w:color w:val="000000"/>
          <w:sz w:val="24"/>
          <w:szCs w:val="24"/>
        </w:rPr>
        <w:t>el Fiscal presentará los cargos que de acuerdo con la investigación surjan contra el procesado y éste tendrá la oportunidad de aceptarlos en todo o en parte, o podrá rechazarlos</w:t>
      </w:r>
      <w:r>
        <w:rPr>
          <w:rFonts w:ascii="Times New Roman" w:eastAsia="Times New Roman" w:hAnsi="Times New Roman" w:cs="Times New Roman"/>
          <w:color w:val="000000"/>
          <w:sz w:val="24"/>
          <w:szCs w:val="24"/>
        </w:rPr>
        <w:t xml:space="preserve"> El Juez deberá explicar al procesado los alcances y consecuencias de su aceptación de responsabilidad total o parcial.</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Tratándose de la terminación anticipada, se impondrá al procesado que acepte su aplicación el mínimo legal de la pena, según corresponda al delito aduanero cometido. </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Tratándose de la reducción de la pena privativa de libertad, el procesado deberá abonar por concepto del beneficio otorgado, una suma equivalente a dos veces el valor de las mercancías materia del delito más los tributos dejados de pagar, y los derechos de antidumping o compensatorios cuando correspondan, sin perjuicio del decomiso de las mercancías e instrumentos materia del delito.</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 vez efectuado el depósito del monto establecido en el inciso anterior, el Juez dictará sentencia conforme a lo acordado dentro de las cuarenta y ocho (48) horas.</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el Juez considera que la calificación jurídica del hecho punible y la pena a imponer son las adecuadas y obra prueba suficiente, dispondrá en la sentencia la aplicación de la pena indicada y la reparación civil, enunciando en su parte resolutiva que ha habido acuerdo de los sujetos procesales. </w:t>
      </w:r>
    </w:p>
    <w:p w:rsidR="009609BF" w:rsidRDefault="009609BF">
      <w:pPr>
        <w:pBdr>
          <w:top w:val="nil"/>
          <w:left w:val="nil"/>
          <w:bottom w:val="nil"/>
          <w:right w:val="nil"/>
          <w:between w:val="nil"/>
        </w:pBdr>
        <w:spacing w:after="0" w:line="276" w:lineRule="auto"/>
        <w:ind w:left="1134" w:hanging="720"/>
        <w:jc w:val="both"/>
        <w:rPr>
          <w:rFonts w:ascii="Times New Roman" w:eastAsia="Times New Roman" w:hAnsi="Times New Roman" w:cs="Times New Roman"/>
          <w:color w:val="000000"/>
          <w:sz w:val="8"/>
          <w:szCs w:val="8"/>
        </w:rPr>
      </w:pPr>
    </w:p>
    <w:p w:rsidR="009609BF" w:rsidRDefault="0066183D">
      <w:pPr>
        <w:numPr>
          <w:ilvl w:val="0"/>
          <w:numId w:val="1"/>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sentencia será elevada en consulta al Tribunal Superior, el que deberá absolverla en un término no mayor a tres (3) días hábiles. El auto que </w:t>
      </w:r>
      <w:r>
        <w:rPr>
          <w:rFonts w:ascii="Times New Roman" w:eastAsia="Times New Roman" w:hAnsi="Times New Roman" w:cs="Times New Roman"/>
          <w:color w:val="000000"/>
          <w:sz w:val="24"/>
          <w:szCs w:val="24"/>
        </w:rPr>
        <w:lastRenderedPageBreak/>
        <w:t xml:space="preserve">deniegue la aplicación de la terminación anticipada es apelable en un solo efecto, en el término de un día hábil. </w:t>
      </w:r>
    </w:p>
    <w:p w:rsidR="009609BF" w:rsidRDefault="009609BF">
      <w:pPr>
        <w:spacing w:after="0" w:line="276" w:lineRule="auto"/>
        <w:ind w:left="360"/>
        <w:jc w:val="both"/>
        <w:rPr>
          <w:rFonts w:ascii="Times New Roman" w:eastAsia="Times New Roman" w:hAnsi="Times New Roman" w:cs="Times New Roman"/>
          <w:b/>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fondos obtenidos por la terminación anticipada del proceso descrito en el inciso d), a excepción del monto por tributos, derechos antidumping o compensatorios, serán distribuidos entre las siguientes instituciones y personas, en los porcentajes siguientes: </w:t>
      </w:r>
    </w:p>
    <w:p w:rsidR="009609BF" w:rsidRDefault="009609BF">
      <w:pPr>
        <w:spacing w:after="0" w:line="276" w:lineRule="auto"/>
        <w:ind w:left="567"/>
        <w:jc w:val="both"/>
        <w:rPr>
          <w:rFonts w:ascii="Times New Roman" w:eastAsia="Times New Roman" w:hAnsi="Times New Roman" w:cs="Times New Roman"/>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Denunciante </w:t>
      </w:r>
      <w:r>
        <w:rPr>
          <w:rFonts w:ascii="Times New Roman" w:eastAsia="Times New Roman" w:hAnsi="Times New Roman" w:cs="Times New Roman"/>
          <w:b/>
          <w:color w:val="000000"/>
          <w:sz w:val="24"/>
          <w:szCs w:val="24"/>
        </w:rPr>
        <w:t>50%.</w:t>
      </w: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Poder Judicial </w:t>
      </w:r>
      <w:r>
        <w:rPr>
          <w:rFonts w:ascii="Times New Roman" w:eastAsia="Times New Roman" w:hAnsi="Times New Roman" w:cs="Times New Roman"/>
          <w:b/>
          <w:color w:val="000000"/>
          <w:sz w:val="24"/>
          <w:szCs w:val="24"/>
        </w:rPr>
        <w:t>15%.</w:t>
      </w: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Ministerio Público </w:t>
      </w:r>
      <w:r>
        <w:rPr>
          <w:rFonts w:ascii="Times New Roman" w:eastAsia="Times New Roman" w:hAnsi="Times New Roman" w:cs="Times New Roman"/>
          <w:b/>
          <w:color w:val="000000"/>
          <w:sz w:val="24"/>
          <w:szCs w:val="24"/>
        </w:rPr>
        <w:t>15%.</w:t>
      </w: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Policía Nacional del Perú </w:t>
      </w:r>
      <w:r>
        <w:rPr>
          <w:rFonts w:ascii="Times New Roman" w:eastAsia="Times New Roman" w:hAnsi="Times New Roman" w:cs="Times New Roman"/>
          <w:b/>
          <w:color w:val="000000"/>
          <w:sz w:val="24"/>
          <w:szCs w:val="24"/>
        </w:rPr>
        <w:t>15%.</w:t>
      </w: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Administración Aduanera </w:t>
      </w:r>
      <w:r>
        <w:rPr>
          <w:rFonts w:ascii="Times New Roman" w:eastAsia="Times New Roman" w:hAnsi="Times New Roman" w:cs="Times New Roman"/>
          <w:b/>
          <w:color w:val="000000"/>
          <w:sz w:val="24"/>
          <w:szCs w:val="24"/>
        </w:rPr>
        <w:t>5%.</w:t>
      </w:r>
      <w:r>
        <w:rPr>
          <w:rFonts w:ascii="Times New Roman" w:eastAsia="Times New Roman" w:hAnsi="Times New Roman" w:cs="Times New Roman"/>
          <w:color w:val="000000"/>
          <w:sz w:val="24"/>
          <w:szCs w:val="24"/>
        </w:rPr>
        <w:t xml:space="preserve"> </w:t>
      </w:r>
    </w:p>
    <w:p w:rsidR="009609BF" w:rsidRDefault="009609BF">
      <w:pPr>
        <w:spacing w:after="0" w:line="276" w:lineRule="auto"/>
        <w:ind w:left="567"/>
        <w:jc w:val="both"/>
        <w:rPr>
          <w:rFonts w:ascii="Times New Roman" w:eastAsia="Times New Roman" w:hAnsi="Times New Roman" w:cs="Times New Roman"/>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Los fondos obtenidos por la Administración Aduanera serán destinados a campañas educativas y de publicidad en la lucha contra los delitos aduaneros. </w:t>
      </w:r>
    </w:p>
    <w:p w:rsidR="009609BF" w:rsidRDefault="009609BF">
      <w:pPr>
        <w:spacing w:after="0" w:line="276" w:lineRule="auto"/>
        <w:ind w:left="567"/>
        <w:jc w:val="both"/>
        <w:rPr>
          <w:rFonts w:ascii="Times New Roman" w:eastAsia="Times New Roman" w:hAnsi="Times New Roman" w:cs="Times New Roman"/>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caso que colaboren las Fuerzas Armadas, sin la participación de la Policía Nacional, el 15% de los fondos inicialmente establecidos para la Policía Nacional le corresponderá a las Fuerzas Armadas.</w:t>
      </w:r>
    </w:p>
    <w:p w:rsidR="009609BF" w:rsidRDefault="009609BF">
      <w:pPr>
        <w:spacing w:after="0" w:line="276" w:lineRule="auto"/>
        <w:ind w:left="567"/>
        <w:jc w:val="both"/>
        <w:rPr>
          <w:rFonts w:ascii="Times New Roman" w:eastAsia="Times New Roman" w:hAnsi="Times New Roman" w:cs="Times New Roman"/>
          <w:color w:val="000000"/>
          <w:sz w:val="4"/>
          <w:szCs w:val="4"/>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Cuando la colaboración es conjunta entre las Fuerzas Armadas y la Policía Nacional, el 15% de los fondos se distribuirá equitativamente entre ambas instituciones. </w:t>
      </w:r>
    </w:p>
    <w:p w:rsidR="009609BF" w:rsidRDefault="009609BF">
      <w:pPr>
        <w:spacing w:after="0" w:line="276" w:lineRule="auto"/>
        <w:ind w:left="567"/>
        <w:jc w:val="both"/>
        <w:rPr>
          <w:rFonts w:ascii="Times New Roman" w:eastAsia="Times New Roman" w:hAnsi="Times New Roman" w:cs="Times New Roman"/>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el caso de inexistencia del denunciante y que la acción para descubrir los delitos hubiere correspondido a la Administración Aduanera, Policía Nacional o Fuerzas Armadas, el porcentaje asignado al denunciante corresponderá a una de las tres entidades, o se repartirá equitativamente cuando hubieran participado conjuntamente, según corresponda (La </w:t>
      </w:r>
      <w:r>
        <w:rPr>
          <w:rFonts w:ascii="Times New Roman" w:eastAsia="Times New Roman" w:hAnsi="Times New Roman" w:cs="Times New Roman"/>
          <w:b/>
          <w:color w:val="000000"/>
          <w:sz w:val="24"/>
          <w:szCs w:val="24"/>
        </w:rPr>
        <w:t xml:space="preserve">Ley N.º 28008, 2003). </w:t>
      </w: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tabs>
          <w:tab w:val="left" w:pos="56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Pese a  que la ley antes mencionada, no hace mención a T.A., sino a </w:t>
      </w:r>
      <w:r>
        <w:rPr>
          <w:rFonts w:ascii="Times New Roman" w:eastAsia="Times New Roman" w:hAnsi="Times New Roman" w:cs="Times New Roman"/>
          <w:b/>
          <w:color w:val="000000"/>
          <w:sz w:val="24"/>
          <w:szCs w:val="24"/>
        </w:rPr>
        <w:t>conclusión anticipada del proceso por delitos aduaneros</w:t>
      </w:r>
      <w:r>
        <w:rPr>
          <w:rFonts w:ascii="Times New Roman" w:eastAsia="Times New Roman" w:hAnsi="Times New Roman" w:cs="Times New Roman"/>
          <w:color w:val="000000"/>
          <w:sz w:val="24"/>
          <w:szCs w:val="24"/>
        </w:rPr>
        <w:t xml:space="preserve">, esta precisa que </w:t>
      </w:r>
      <w:r>
        <w:rPr>
          <w:rFonts w:ascii="Times New Roman" w:eastAsia="Times New Roman" w:hAnsi="Times New Roman" w:cs="Times New Roman"/>
          <w:b/>
          <w:color w:val="000000"/>
          <w:sz w:val="24"/>
          <w:szCs w:val="24"/>
        </w:rPr>
        <w:t>los procesos seguidos por los ilícitos de esta naturaleza podrán terminar anticipadamente</w:t>
      </w:r>
      <w:r>
        <w:rPr>
          <w:rFonts w:ascii="Times New Roman" w:eastAsia="Times New Roman" w:hAnsi="Times New Roman" w:cs="Times New Roman"/>
          <w:color w:val="000000"/>
          <w:sz w:val="24"/>
          <w:szCs w:val="24"/>
        </w:rPr>
        <w:t xml:space="preserve">, de forma general se evidencia que esta ley presenta similitudes con la </w:t>
      </w:r>
      <w:r>
        <w:rPr>
          <w:rFonts w:ascii="Times New Roman" w:eastAsia="Times New Roman" w:hAnsi="Times New Roman" w:cs="Times New Roman"/>
          <w:b/>
          <w:color w:val="000000"/>
          <w:sz w:val="24"/>
          <w:szCs w:val="24"/>
        </w:rPr>
        <w:t>Ley N.º 26320</w:t>
      </w:r>
      <w:r>
        <w:rPr>
          <w:rFonts w:ascii="Times New Roman" w:eastAsia="Times New Roman" w:hAnsi="Times New Roman" w:cs="Times New Roman"/>
          <w:color w:val="000000"/>
          <w:sz w:val="24"/>
          <w:szCs w:val="24"/>
        </w:rPr>
        <w:t xml:space="preserve">; sin embargo, también difiere en ciertos aspectos, esta nueva ley solo autoriza la incoación del proceso especial antes mencionado en delitos aduaneros; asimismo, esta no establece que el beneficio por la incoación de este proceso especial será de un sexto de la pena; y por el contrario precisa que la pena a imponer a quien a se acoja a la T.A., será el mínimo legal establecido -que en el catálogo de delitos, fluctúan entre dos a ocho años-; así también, en esta nueva ley se suprimió que en caso no se llegue a un acuerdo o si este no fuera aprobado por el Juez, se procederá al cambio de los funcionarios -Fiscal y Juez- intervinientes. Finalmente, siguiendo con el objeto del presente artículo de investigación, respecto al momento en que se puede incoar este proceso especial, existe un cambio que considero </w:t>
      </w:r>
      <w:r>
        <w:rPr>
          <w:rFonts w:ascii="Times New Roman" w:eastAsia="Times New Roman" w:hAnsi="Times New Roman" w:cs="Times New Roman"/>
          <w:b/>
          <w:color w:val="000000"/>
          <w:sz w:val="24"/>
          <w:szCs w:val="24"/>
        </w:rPr>
        <w:t xml:space="preserve">induce a error -como explicaré más adelante- puesto que ya no señala que la incoación de la T.A. podrá tener lugar hasta antes que </w:t>
      </w:r>
      <w:r>
        <w:rPr>
          <w:rFonts w:ascii="Times New Roman" w:eastAsia="Times New Roman" w:hAnsi="Times New Roman" w:cs="Times New Roman"/>
          <w:b/>
          <w:color w:val="000000"/>
          <w:sz w:val="24"/>
          <w:szCs w:val="24"/>
        </w:rPr>
        <w:lastRenderedPageBreak/>
        <w:t xml:space="preserve">concluya la instrucción; sino que amplía este plazo hasta antes de la formulación de la A.F. o R.A.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4.1.d. Nuevo Código Procesal Penal de 2004.-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El N.C.P.P. 2004, es el primer cuerpo legislativo en regular de forma expresa un proceso especial basado en la negociación o consenso con el </w:t>
      </w:r>
      <w:proofErr w:type="spellStart"/>
      <w:r>
        <w:rPr>
          <w:rFonts w:ascii="Times New Roman" w:eastAsia="Times New Roman" w:hAnsi="Times New Roman" w:cs="Times New Roman"/>
          <w:i/>
          <w:color w:val="000000"/>
          <w:sz w:val="24"/>
          <w:szCs w:val="24"/>
        </w:rPr>
        <w:t>nomen</w:t>
      </w:r>
      <w:proofErr w:type="spellEnd"/>
      <w:r>
        <w:rPr>
          <w:rFonts w:ascii="Times New Roman" w:eastAsia="Times New Roman" w:hAnsi="Times New Roman" w:cs="Times New Roman"/>
          <w:color w:val="000000"/>
          <w:sz w:val="24"/>
          <w:szCs w:val="24"/>
        </w:rPr>
        <w:t xml:space="preserve"> de T.A., el mismo que se presenta como un proceso alternativo al proceso penal, este se encuentra sustentado entre los artículos 468 al 471 del cuerpo normativo antes mencionado</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conforme detallo a continuación:</w:t>
      </w:r>
    </w:p>
    <w:p w:rsidR="009609BF" w:rsidRDefault="009609BF">
      <w:pPr>
        <w:tabs>
          <w:tab w:val="left" w:pos="567"/>
        </w:tabs>
        <w:spacing w:after="0" w:line="276" w:lineRule="auto"/>
        <w:jc w:val="both"/>
        <w:rPr>
          <w:rFonts w:ascii="Times New Roman" w:eastAsia="Times New Roman" w:hAnsi="Times New Roman" w:cs="Times New Roman"/>
          <w:b/>
          <w:color w:val="000000"/>
          <w:sz w:val="28"/>
          <w:szCs w:val="28"/>
        </w:rPr>
      </w:pPr>
    </w:p>
    <w:p w:rsidR="009609BF" w:rsidRDefault="0066183D">
      <w:pPr>
        <w:spacing w:after="0" w:line="276" w:lineRule="auto"/>
        <w:ind w:left="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Artículo 468.- Normas de </w:t>
      </w:r>
      <w:proofErr w:type="gramStart"/>
      <w:r>
        <w:rPr>
          <w:rFonts w:ascii="Times New Roman" w:eastAsia="Times New Roman" w:hAnsi="Times New Roman" w:cs="Times New Roman"/>
          <w:b/>
          <w:color w:val="000000"/>
          <w:sz w:val="24"/>
          <w:szCs w:val="24"/>
        </w:rPr>
        <w:t>aplicación.-</w:t>
      </w:r>
      <w:proofErr w:type="gram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Los procesos podrán terminar anticipadamente, observando las siguientes reglas:</w:t>
      </w:r>
    </w:p>
    <w:p w:rsidR="009609BF" w:rsidRDefault="009609BF">
      <w:pPr>
        <w:spacing w:after="0" w:line="276" w:lineRule="auto"/>
        <w:ind w:left="567"/>
        <w:jc w:val="both"/>
        <w:rPr>
          <w:rFonts w:ascii="Times New Roman" w:eastAsia="Times New Roman" w:hAnsi="Times New Roman" w:cs="Times New Roman"/>
          <w:b/>
          <w:color w:val="000000"/>
          <w:sz w:val="8"/>
          <w:szCs w:val="8"/>
        </w:rPr>
      </w:pPr>
    </w:p>
    <w:p w:rsidR="009609BF" w:rsidRDefault="0066183D">
      <w:pPr>
        <w:numPr>
          <w:ilvl w:val="0"/>
          <w:numId w:val="2"/>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iniciativa del Fiscal o del imputado, el Juez de la Investigación Preparatoria dispondrá, una vez expedida la Disposición Fiscal del artículo 336 y hasta antes de formularse acusación fiscal, pero por una sola vez, la celebración de una audiencia de terminación anticipada, de carácter privada. Su celebración no impide la continuación del proceso. Se formará, al respecto, cuaderno aparte. </w:t>
      </w:r>
    </w:p>
    <w:p w:rsidR="009609BF" w:rsidRDefault="009609BF">
      <w:pPr>
        <w:pBdr>
          <w:top w:val="nil"/>
          <w:left w:val="nil"/>
          <w:bottom w:val="nil"/>
          <w:right w:val="nil"/>
          <w:between w:val="nil"/>
        </w:pBdr>
        <w:spacing w:after="0" w:line="276" w:lineRule="auto"/>
        <w:ind w:left="927" w:hanging="720"/>
        <w:jc w:val="both"/>
        <w:rPr>
          <w:rFonts w:ascii="Times New Roman" w:eastAsia="Times New Roman" w:hAnsi="Times New Roman" w:cs="Times New Roman"/>
          <w:color w:val="000000"/>
          <w:sz w:val="8"/>
          <w:szCs w:val="8"/>
        </w:rPr>
      </w:pPr>
    </w:p>
    <w:p w:rsidR="009609BF" w:rsidRDefault="0066183D">
      <w:pPr>
        <w:numPr>
          <w:ilvl w:val="0"/>
          <w:numId w:val="2"/>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Fiscal y el imputado podrán presentar una solicitud conjunta y un Acuerdo Provisional sobre la pena y la reparación civil y demás consecuencias accesorias. Están autorizados a sostener reuniones preparatorias informales. En todo caso, la continuidad del trámite requiere necesariamente la no oposición inicial del imputado o del Fiscal según el caso. </w:t>
      </w:r>
    </w:p>
    <w:p w:rsidR="009609BF" w:rsidRDefault="009609BF">
      <w:pPr>
        <w:pBdr>
          <w:top w:val="nil"/>
          <w:left w:val="nil"/>
          <w:bottom w:val="nil"/>
          <w:right w:val="nil"/>
          <w:between w:val="nil"/>
        </w:pBdr>
        <w:spacing w:after="0" w:line="276" w:lineRule="auto"/>
        <w:ind w:left="927" w:hanging="720"/>
        <w:jc w:val="both"/>
        <w:rPr>
          <w:rFonts w:ascii="Times New Roman" w:eastAsia="Times New Roman" w:hAnsi="Times New Roman" w:cs="Times New Roman"/>
          <w:color w:val="000000"/>
          <w:sz w:val="8"/>
          <w:szCs w:val="8"/>
        </w:rPr>
      </w:pPr>
    </w:p>
    <w:p w:rsidR="009609BF" w:rsidRDefault="0066183D">
      <w:pPr>
        <w:numPr>
          <w:ilvl w:val="0"/>
          <w:numId w:val="2"/>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requerimiento fiscal o la solicitud del imputado será puesta en conocimiento de todas las partes en el plazo de cinco días, quienes se pronunciarán acerca de la procedencia del proceso de terminación anticipada y, en su caso, formular sus pretensiones.</w:t>
      </w:r>
    </w:p>
    <w:p w:rsidR="009609BF" w:rsidRDefault="009609BF">
      <w:pPr>
        <w:pBdr>
          <w:top w:val="nil"/>
          <w:left w:val="nil"/>
          <w:bottom w:val="nil"/>
          <w:right w:val="nil"/>
          <w:between w:val="nil"/>
        </w:pBdr>
        <w:spacing w:after="0" w:line="276" w:lineRule="auto"/>
        <w:ind w:left="927" w:hanging="720"/>
        <w:jc w:val="both"/>
        <w:rPr>
          <w:rFonts w:ascii="Times New Roman" w:eastAsia="Times New Roman" w:hAnsi="Times New Roman" w:cs="Times New Roman"/>
          <w:color w:val="000000"/>
          <w:sz w:val="8"/>
          <w:szCs w:val="8"/>
        </w:rPr>
      </w:pPr>
    </w:p>
    <w:p w:rsidR="009609BF" w:rsidRDefault="0066183D">
      <w:pPr>
        <w:numPr>
          <w:ilvl w:val="0"/>
          <w:numId w:val="2"/>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audiencia de terminación anticipada se instalará con la asistencia obligatoria del Fiscal y del imputado y su abogado defensor. Es facultativa la concurrencia de los demás sujetos procesales. Acto seguido, el Fiscal presentará los cargos que como consecuencia de la Investigación Preparatoria surjan contra el imputado y éste tendrá oportunidad de aceptarlos, en todo o en parte, o rechazarlos. El Juez deberá explicar al procesado los alcances y consecuencias del acuerdo, así como las limitaciones que representa la posibilidad de controvertir su responsabilidad. A continuación, el imputado se pronunciará al respecto, así como a los demás sujetos procesales asistentes. El Juez instará a las partes, como consecuencia del debate, a que lleguen a un acuerdo, pudiendo suspender la </w:t>
      </w:r>
      <w:r>
        <w:rPr>
          <w:rFonts w:ascii="Times New Roman" w:eastAsia="Times New Roman" w:hAnsi="Times New Roman" w:cs="Times New Roman"/>
          <w:color w:val="000000"/>
          <w:sz w:val="24"/>
          <w:szCs w:val="24"/>
        </w:rPr>
        <w:lastRenderedPageBreak/>
        <w:t xml:space="preserve">audiencia por breve término, pero deberá continuar el mismo día. No está permitida la actuación de pruebas en la audiencia de terminación anticipada. </w:t>
      </w:r>
    </w:p>
    <w:p w:rsidR="009609BF" w:rsidRDefault="009609BF">
      <w:pPr>
        <w:pBdr>
          <w:top w:val="nil"/>
          <w:left w:val="nil"/>
          <w:bottom w:val="nil"/>
          <w:right w:val="nil"/>
          <w:between w:val="nil"/>
        </w:pBdr>
        <w:spacing w:after="0" w:line="276" w:lineRule="auto"/>
        <w:ind w:left="927" w:hanging="720"/>
        <w:jc w:val="both"/>
        <w:rPr>
          <w:rFonts w:ascii="Times New Roman" w:eastAsia="Times New Roman" w:hAnsi="Times New Roman" w:cs="Times New Roman"/>
          <w:color w:val="000000"/>
          <w:sz w:val="8"/>
          <w:szCs w:val="8"/>
        </w:rPr>
      </w:pPr>
    </w:p>
    <w:p w:rsidR="009609BF" w:rsidRDefault="0066183D">
      <w:pPr>
        <w:numPr>
          <w:ilvl w:val="0"/>
          <w:numId w:val="2"/>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el Fiscal y el imputado llegan a un acuerdo acerca de las circunstancias del hecho punible, de la pena, reparación civil y consecuencias accesorias a imponer, incluso la no imposición de la pena privativa de libertad efectiva conforme a la Ley penal, así lo declararán ante el Juez debiéndose consignar expresamente en el acta respectiva. El Juez dictará sentencia anticipada dentro de las cuarenta y ocho horas de realizada la audiencia. </w:t>
      </w:r>
    </w:p>
    <w:p w:rsidR="009609BF" w:rsidRDefault="009609BF">
      <w:pPr>
        <w:pBdr>
          <w:top w:val="nil"/>
          <w:left w:val="nil"/>
          <w:bottom w:val="nil"/>
          <w:right w:val="nil"/>
          <w:between w:val="nil"/>
        </w:pBdr>
        <w:spacing w:after="0" w:line="276" w:lineRule="auto"/>
        <w:ind w:left="927" w:hanging="720"/>
        <w:jc w:val="both"/>
        <w:rPr>
          <w:rFonts w:ascii="Times New Roman" w:eastAsia="Times New Roman" w:hAnsi="Times New Roman" w:cs="Times New Roman"/>
          <w:color w:val="000000"/>
          <w:sz w:val="8"/>
          <w:szCs w:val="8"/>
        </w:rPr>
      </w:pPr>
    </w:p>
    <w:p w:rsidR="009609BF" w:rsidRDefault="0066183D">
      <w:pPr>
        <w:numPr>
          <w:ilvl w:val="0"/>
          <w:numId w:val="2"/>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 el Juez considera que la calificación jurídica del hecho punible y la pena a imponer, de conformidad con lo acordado, son razonables y obran elementos de convicción suficientes, dispondrá en la sentencia la aplicación de la pena indicada, la reparación civil y las consecuencias accesorias que correspondan enunciando en su parte resolutiva que ha habido acuerdo. Rige lo dispuesto en el artículo 398. </w:t>
      </w:r>
    </w:p>
    <w:p w:rsidR="009609BF" w:rsidRDefault="009609BF">
      <w:pPr>
        <w:pBdr>
          <w:top w:val="nil"/>
          <w:left w:val="nil"/>
          <w:bottom w:val="nil"/>
          <w:right w:val="nil"/>
          <w:between w:val="nil"/>
        </w:pBdr>
        <w:spacing w:after="0" w:line="276" w:lineRule="auto"/>
        <w:ind w:left="927" w:hanging="720"/>
        <w:jc w:val="both"/>
        <w:rPr>
          <w:rFonts w:ascii="Times New Roman" w:eastAsia="Times New Roman" w:hAnsi="Times New Roman" w:cs="Times New Roman"/>
          <w:color w:val="000000"/>
          <w:sz w:val="8"/>
          <w:szCs w:val="8"/>
        </w:rPr>
      </w:pPr>
    </w:p>
    <w:p w:rsidR="009609BF" w:rsidRDefault="0066183D">
      <w:pPr>
        <w:numPr>
          <w:ilvl w:val="0"/>
          <w:numId w:val="2"/>
        </w:numPr>
        <w:pBdr>
          <w:top w:val="nil"/>
          <w:left w:val="nil"/>
          <w:bottom w:val="nil"/>
          <w:right w:val="nil"/>
          <w:between w:val="nil"/>
        </w:pBdr>
        <w:spacing w:after="0" w:line="276" w:lineRule="auto"/>
        <w:ind w:left="1134" w:hanging="56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sentencia aprobatoria del acuerdo puede ser apelada por los demás sujetos procesales. Los demás sujetos procesales, según su ámbito de intervención procesal, pueden cuestionar la legalidad del acuerdo y, en su caso, el monto de la reparación civil. En este último caso, la Sala Penal Superior puede incrementar la reparación civil dentro de los límites de la pretensión del actor civil. </w:t>
      </w:r>
    </w:p>
    <w:p w:rsidR="009609BF" w:rsidRDefault="009609BF">
      <w:pPr>
        <w:spacing w:after="0" w:line="276" w:lineRule="auto"/>
        <w:jc w:val="both"/>
        <w:rPr>
          <w:rFonts w:ascii="Times New Roman" w:eastAsia="Times New Roman" w:hAnsi="Times New Roman" w:cs="Times New Roman"/>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469.- Proceso con pluralidad de hechos punibles e </w:t>
      </w:r>
      <w:proofErr w:type="gramStart"/>
      <w:r>
        <w:rPr>
          <w:rFonts w:ascii="Times New Roman" w:eastAsia="Times New Roman" w:hAnsi="Times New Roman" w:cs="Times New Roman"/>
          <w:b/>
          <w:color w:val="000000"/>
          <w:sz w:val="24"/>
          <w:szCs w:val="24"/>
        </w:rPr>
        <w:t>imputados.-</w:t>
      </w:r>
      <w:proofErr w:type="gramEnd"/>
      <w:r>
        <w:rPr>
          <w:rFonts w:ascii="Times New Roman" w:eastAsia="Times New Roman" w:hAnsi="Times New Roman" w:cs="Times New Roman"/>
          <w:color w:val="000000"/>
          <w:sz w:val="24"/>
          <w:szCs w:val="24"/>
        </w:rPr>
        <w:t xml:space="preserve"> En los procesos por pluralidad de hechos punibles o de imputados, se requerirá del acuerdo de todos los imputados y por todos los cargos que se incrimine a cada uno. Sin embargo, el Juez podrá aprobar acuerdos parciales si la falta de acuerdo se refiere a delitos conexos y en relación con los otros imputados, salvo que ello perjudique la investigación o si la acumulación resulta indispensable.  </w:t>
      </w:r>
    </w:p>
    <w:p w:rsidR="009609BF" w:rsidRDefault="009609BF">
      <w:pPr>
        <w:spacing w:after="0" w:line="276" w:lineRule="auto"/>
        <w:ind w:left="567"/>
        <w:jc w:val="both"/>
        <w:rPr>
          <w:rFonts w:ascii="Times New Roman" w:eastAsia="Times New Roman" w:hAnsi="Times New Roman" w:cs="Times New Roman"/>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470.- Declaración </w:t>
      </w:r>
      <w:proofErr w:type="gramStart"/>
      <w:r>
        <w:rPr>
          <w:rFonts w:ascii="Times New Roman" w:eastAsia="Times New Roman" w:hAnsi="Times New Roman" w:cs="Times New Roman"/>
          <w:b/>
          <w:color w:val="000000"/>
          <w:sz w:val="24"/>
          <w:szCs w:val="24"/>
        </w:rPr>
        <w:t>inexistente.-</w:t>
      </w:r>
      <w:proofErr w:type="gramEnd"/>
      <w:r>
        <w:rPr>
          <w:rFonts w:ascii="Times New Roman" w:eastAsia="Times New Roman" w:hAnsi="Times New Roman" w:cs="Times New Roman"/>
          <w:color w:val="000000"/>
          <w:sz w:val="24"/>
          <w:szCs w:val="24"/>
        </w:rPr>
        <w:t xml:space="preserve"> Cuando no se llegue a un acuerdo o éste no sea aprobado, la declaración formulada por el imputado en este proceso se tendrá como inexistente y no podrá ser utilizada en su contra. </w:t>
      </w:r>
    </w:p>
    <w:p w:rsidR="009609BF" w:rsidRDefault="009609BF">
      <w:pPr>
        <w:spacing w:after="0" w:line="276" w:lineRule="auto"/>
        <w:ind w:left="567"/>
        <w:jc w:val="both"/>
        <w:rPr>
          <w:rFonts w:ascii="Times New Roman" w:eastAsia="Times New Roman" w:hAnsi="Times New Roman" w:cs="Times New Roman"/>
          <w:color w:val="000000"/>
          <w:sz w:val="8"/>
          <w:szCs w:val="8"/>
        </w:rPr>
      </w:pPr>
    </w:p>
    <w:p w:rsidR="009609BF" w:rsidRDefault="0066183D">
      <w:pPr>
        <w:spacing w:after="0" w:line="276"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471.- Reducción adicional </w:t>
      </w:r>
      <w:proofErr w:type="gramStart"/>
      <w:r>
        <w:rPr>
          <w:rFonts w:ascii="Times New Roman" w:eastAsia="Times New Roman" w:hAnsi="Times New Roman" w:cs="Times New Roman"/>
          <w:b/>
          <w:color w:val="000000"/>
          <w:sz w:val="24"/>
          <w:szCs w:val="24"/>
        </w:rPr>
        <w:t>acumulable.-</w:t>
      </w:r>
      <w:proofErr w:type="gramEnd"/>
      <w:r>
        <w:rPr>
          <w:rFonts w:ascii="Times New Roman" w:eastAsia="Times New Roman" w:hAnsi="Times New Roman" w:cs="Times New Roman"/>
          <w:color w:val="000000"/>
          <w:sz w:val="24"/>
          <w:szCs w:val="24"/>
        </w:rPr>
        <w:t xml:space="preserve"> El imputado que se acoja a este proceso recibirá un beneficio de reducción de la pena de una sexta parte. Este beneficio es adicional y se acumulará al que reciba por confesión (Nuevo Código Procesal Penal, 2004). </w:t>
      </w:r>
    </w:p>
    <w:p w:rsidR="009609BF" w:rsidRDefault="009609BF">
      <w:pPr>
        <w:tabs>
          <w:tab w:val="left" w:pos="567"/>
        </w:tabs>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tabs>
          <w:tab w:val="left" w:pos="567"/>
        </w:tabs>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t xml:space="preserve">Continuando con la cronología del presente, los artículos citados responden a la redacción inicial que tuvo este proceso especial en el N.C.P.P. 2004 –preciso esto, ya que a partir del año 2013 se produjeron ciertas modificaciones, aunque ninguna planteó un cambio sustancial-, la T.A. no muestra un cambio relevante al ser comparado con las regulaciones contenidas en las leyes N.º 26320 y N.º 28008, lo que considero oportuno resaltar es que el N.C.P.P. 2004, autoriza la aplicación de este tipo de justicia penal negociada o consensuada a todo tipo de ilícitos, dejando de lado la discriminación que </w:t>
      </w:r>
      <w:r>
        <w:rPr>
          <w:rFonts w:ascii="Times New Roman" w:eastAsia="Times New Roman" w:hAnsi="Times New Roman" w:cs="Times New Roman"/>
          <w:color w:val="000000"/>
          <w:sz w:val="24"/>
          <w:szCs w:val="24"/>
        </w:rPr>
        <w:lastRenderedPageBreak/>
        <w:t xml:space="preserve">existía antes, en la este proceso especial solo podía ser incoado cuando se encontraran comprendidos los delitos de Tráfico Ilícito de Drogas y Delitos Aduaneros. Sin embargo, conforme señalé antes, lo importante en atención al objeto de investigación del presente artículo, es la oportunidad o espacio temporal en el que este podía ser incoado, sobre el particular el N.C.P.P. 2004, señala de forma taxativa que este puede incoarse </w:t>
      </w:r>
      <w:r>
        <w:rPr>
          <w:rFonts w:ascii="Times New Roman" w:eastAsia="Times New Roman" w:hAnsi="Times New Roman" w:cs="Times New Roman"/>
          <w:b/>
          <w:color w:val="000000"/>
          <w:sz w:val="24"/>
          <w:szCs w:val="24"/>
        </w:rPr>
        <w:t>desde la expedición de la Disposición Fiscal de Formalización y Continuación de la Investigación Preparatoria</w:t>
      </w:r>
      <w:r>
        <w:rPr>
          <w:rFonts w:ascii="Times New Roman" w:eastAsia="Times New Roman" w:hAnsi="Times New Roman" w:cs="Times New Roman"/>
          <w:color w:val="000000"/>
          <w:sz w:val="24"/>
          <w:szCs w:val="24"/>
        </w:rPr>
        <w:t xml:space="preserve">, lo que no genera mayores inconvenientes, el término o conclusión al menos en lo que a mí respecta tampoco; sin embargo, al haber tomado conocimiento que existen ciertas interpretaciones que considero equivocadas, las cuales sostienen que es posible incoar una T.A. durante la E.I., en específico hasta antes de </w:t>
      </w:r>
      <w:proofErr w:type="spellStart"/>
      <w:r>
        <w:rPr>
          <w:rFonts w:ascii="Times New Roman" w:eastAsia="Times New Roman" w:hAnsi="Times New Roman" w:cs="Times New Roman"/>
          <w:color w:val="000000"/>
          <w:sz w:val="24"/>
          <w:szCs w:val="24"/>
        </w:rPr>
        <w:t>oralizada</w:t>
      </w:r>
      <w:proofErr w:type="spellEnd"/>
      <w:r>
        <w:rPr>
          <w:rFonts w:ascii="Times New Roman" w:eastAsia="Times New Roman" w:hAnsi="Times New Roman" w:cs="Times New Roman"/>
          <w:color w:val="000000"/>
          <w:sz w:val="24"/>
          <w:szCs w:val="24"/>
        </w:rPr>
        <w:t xml:space="preserve"> la A.F. o R.A., a continuación daré a conocer los fundamentos de mi postura, con la finalidad que esto sea más didáctico formularé la siguiente interrogante  </w:t>
      </w:r>
      <w:r>
        <w:rPr>
          <w:rFonts w:ascii="Times New Roman" w:eastAsia="Times New Roman" w:hAnsi="Times New Roman" w:cs="Times New Roman"/>
          <w:b/>
          <w:color w:val="000000"/>
          <w:sz w:val="24"/>
          <w:szCs w:val="24"/>
        </w:rPr>
        <w:t xml:space="preserve">¿Qué se entiende por formular?, </w:t>
      </w:r>
      <w:r>
        <w:rPr>
          <w:rFonts w:ascii="Times New Roman" w:eastAsia="Times New Roman" w:hAnsi="Times New Roman" w:cs="Times New Roman"/>
          <w:color w:val="000000"/>
          <w:sz w:val="24"/>
          <w:szCs w:val="24"/>
        </w:rPr>
        <w:t xml:space="preserve">este término ha sido definido por la Real Academia Española, de la siguiente forma: </w:t>
      </w:r>
      <w:r>
        <w:rPr>
          <w:rFonts w:ascii="Times New Roman" w:eastAsia="Times New Roman" w:hAnsi="Times New Roman" w:cs="Times New Roman"/>
          <w:b/>
          <w:color w:val="000000"/>
          <w:sz w:val="24"/>
          <w:szCs w:val="24"/>
        </w:rPr>
        <w:t xml:space="preserve"> </w:t>
      </w:r>
    </w:p>
    <w:p w:rsidR="009609BF" w:rsidRDefault="009609BF">
      <w:pPr>
        <w:spacing w:after="0" w:line="276" w:lineRule="auto"/>
        <w:jc w:val="both"/>
        <w:rPr>
          <w:rFonts w:ascii="Times New Roman" w:eastAsia="Times New Roman" w:hAnsi="Times New Roman" w:cs="Times New Roman"/>
          <w:color w:val="FF0000"/>
          <w:sz w:val="24"/>
          <w:szCs w:val="24"/>
          <w:highlight w:val="yellow"/>
        </w:rPr>
      </w:pPr>
    </w:p>
    <w:p w:rsidR="009609BF" w:rsidRDefault="0066183D">
      <w:pPr>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tr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Enunciar</w:t>
      </w:r>
      <w:r>
        <w:rPr>
          <w:rFonts w:ascii="Times New Roman" w:eastAsia="Times New Roman" w:hAnsi="Times New Roman" w:cs="Times New Roman"/>
          <w:color w:val="000000"/>
          <w:sz w:val="24"/>
          <w:szCs w:val="24"/>
        </w:rPr>
        <w:t xml:space="preserve"> en términos claros y precisos una proposición, una queja, una denuncia, etc.</w:t>
      </w:r>
    </w:p>
    <w:p w:rsidR="009609BF" w:rsidRDefault="0066183D">
      <w:pPr>
        <w:spacing w:after="0" w:line="276" w:lineRule="auto"/>
        <w:ind w:left="851" w:hanging="284"/>
        <w:jc w:val="both"/>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24"/>
          <w:szCs w:val="24"/>
        </w:rPr>
        <w:t xml:space="preserve"> </w:t>
      </w:r>
    </w:p>
    <w:p w:rsidR="009609BF" w:rsidRDefault="0066183D">
      <w:pPr>
        <w:tabs>
          <w:tab w:val="left" w:pos="1134"/>
        </w:tabs>
        <w:spacing w:after="0" w:line="276" w:lineRule="auto"/>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tr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Recetar.</w:t>
      </w:r>
      <w:r>
        <w:rPr>
          <w:rFonts w:ascii="Times New Roman" w:eastAsia="Times New Roman" w:hAnsi="Times New Roman" w:cs="Times New Roman"/>
          <w:color w:val="000000"/>
          <w:sz w:val="24"/>
          <w:szCs w:val="24"/>
        </w:rPr>
        <w:t xml:space="preserve"> </w:t>
      </w:r>
    </w:p>
    <w:p w:rsidR="009609BF" w:rsidRDefault="009609BF">
      <w:pPr>
        <w:tabs>
          <w:tab w:val="left" w:pos="851"/>
        </w:tabs>
        <w:spacing w:after="0" w:line="276" w:lineRule="auto"/>
        <w:ind w:left="851" w:hanging="284"/>
        <w:jc w:val="both"/>
        <w:rPr>
          <w:rFonts w:ascii="Times New Roman" w:eastAsia="Times New Roman" w:hAnsi="Times New Roman" w:cs="Times New Roman"/>
          <w:b/>
          <w:color w:val="000000"/>
          <w:sz w:val="8"/>
          <w:szCs w:val="8"/>
        </w:rPr>
      </w:pPr>
    </w:p>
    <w:p w:rsidR="009609BF" w:rsidRDefault="0066183D">
      <w:pPr>
        <w:numPr>
          <w:ilvl w:val="0"/>
          <w:numId w:val="4"/>
        </w:numPr>
        <w:pBdr>
          <w:top w:val="nil"/>
          <w:left w:val="nil"/>
          <w:bottom w:val="nil"/>
          <w:right w:val="nil"/>
          <w:between w:val="nil"/>
        </w:pBdr>
        <w:tabs>
          <w:tab w:val="left" w:pos="851"/>
          <w:tab w:val="left" w:pos="1134"/>
        </w:tabs>
        <w:spacing w:after="0" w:line="276"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tr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Expresar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manifestar.</w:t>
      </w:r>
      <w:r>
        <w:rPr>
          <w:rFonts w:ascii="Times New Roman" w:eastAsia="Times New Roman" w:hAnsi="Times New Roman" w:cs="Times New Roman"/>
          <w:color w:val="000000"/>
          <w:sz w:val="24"/>
          <w:szCs w:val="24"/>
        </w:rPr>
        <w:t xml:space="preserve"> (Real Academia Española, s.f., definición 1, 2 y 3). </w:t>
      </w:r>
    </w:p>
    <w:p w:rsidR="009609BF" w:rsidRDefault="009609BF">
      <w:pPr>
        <w:spacing w:after="0" w:line="276" w:lineRule="auto"/>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roofErr w:type="gramStart"/>
      <w:r>
        <w:rPr>
          <w:rFonts w:ascii="Times New Roman" w:eastAsia="Times New Roman" w:hAnsi="Times New Roman" w:cs="Times New Roman"/>
          <w:color w:val="000000"/>
          <w:sz w:val="24"/>
          <w:szCs w:val="24"/>
        </w:rPr>
        <w:t>continuación</w:t>
      </w:r>
      <w:proofErr w:type="gramEnd"/>
      <w:r>
        <w:rPr>
          <w:rFonts w:ascii="Times New Roman" w:eastAsia="Times New Roman" w:hAnsi="Times New Roman" w:cs="Times New Roman"/>
          <w:color w:val="000000"/>
          <w:sz w:val="24"/>
          <w:szCs w:val="24"/>
        </w:rPr>
        <w:t xml:space="preserve"> incidiré en la definición de los términos enunciar, recetar, expresar y manifestar, con motivos didácticos los organizaré en la siguiente tabla: </w:t>
      </w:r>
    </w:p>
    <w:p w:rsidR="009609BF" w:rsidRDefault="009609BF">
      <w:pPr>
        <w:spacing w:after="0" w:line="276" w:lineRule="auto"/>
        <w:jc w:val="both"/>
        <w:rPr>
          <w:rFonts w:ascii="Times New Roman" w:eastAsia="Times New Roman" w:hAnsi="Times New Roman" w:cs="Times New Roman"/>
          <w:color w:val="FF0000"/>
          <w:sz w:val="24"/>
          <w:szCs w:val="24"/>
          <w:highlight w:val="yellow"/>
        </w:rPr>
      </w:pPr>
    </w:p>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9609BF">
        <w:tc>
          <w:tcPr>
            <w:tcW w:w="8494" w:type="dxa"/>
            <w:gridSpan w:val="4"/>
            <w:shd w:val="clear" w:color="auto" w:fill="000000"/>
          </w:tcPr>
          <w:p w:rsidR="009609BF" w:rsidRDefault="009609BF">
            <w:pPr>
              <w:spacing w:line="276" w:lineRule="auto"/>
              <w:jc w:val="center"/>
              <w:rPr>
                <w:rFonts w:ascii="Times New Roman" w:eastAsia="Times New Roman" w:hAnsi="Times New Roman" w:cs="Times New Roman"/>
                <w:b/>
                <w:color w:val="FFFFFF"/>
                <w:sz w:val="8"/>
                <w:szCs w:val="8"/>
              </w:rPr>
            </w:pPr>
          </w:p>
          <w:p w:rsidR="009609BF" w:rsidRDefault="0066183D">
            <w:pPr>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FORMULAR</w:t>
            </w:r>
          </w:p>
          <w:p w:rsidR="009609BF" w:rsidRDefault="009609BF">
            <w:pPr>
              <w:spacing w:line="276" w:lineRule="auto"/>
              <w:jc w:val="center"/>
              <w:rPr>
                <w:rFonts w:ascii="Times New Roman" w:eastAsia="Times New Roman" w:hAnsi="Times New Roman" w:cs="Times New Roman"/>
                <w:b/>
                <w:color w:val="FFFFFF"/>
                <w:sz w:val="8"/>
                <w:szCs w:val="8"/>
              </w:rPr>
            </w:pPr>
          </w:p>
        </w:tc>
      </w:tr>
      <w:tr w:rsidR="009609BF">
        <w:tc>
          <w:tcPr>
            <w:tcW w:w="2123" w:type="dxa"/>
            <w:shd w:val="clear" w:color="auto" w:fill="000000"/>
          </w:tcPr>
          <w:p w:rsidR="009609BF" w:rsidRDefault="009609BF">
            <w:pPr>
              <w:jc w:val="center"/>
              <w:rPr>
                <w:rFonts w:ascii="Times New Roman" w:eastAsia="Times New Roman" w:hAnsi="Times New Roman" w:cs="Times New Roman"/>
                <w:b/>
                <w:color w:val="FFFFFF"/>
                <w:sz w:val="8"/>
                <w:szCs w:val="8"/>
              </w:rPr>
            </w:pPr>
          </w:p>
          <w:p w:rsidR="009609BF" w:rsidRDefault="0066183D">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ENUNCIAR</w:t>
            </w:r>
          </w:p>
          <w:p w:rsidR="009609BF" w:rsidRDefault="009609BF">
            <w:pPr>
              <w:jc w:val="center"/>
              <w:rPr>
                <w:rFonts w:ascii="Times New Roman" w:eastAsia="Times New Roman" w:hAnsi="Times New Roman" w:cs="Times New Roman"/>
                <w:b/>
                <w:color w:val="FFFFFF"/>
                <w:sz w:val="8"/>
                <w:szCs w:val="8"/>
              </w:rPr>
            </w:pPr>
          </w:p>
        </w:tc>
        <w:tc>
          <w:tcPr>
            <w:tcW w:w="2123" w:type="dxa"/>
            <w:shd w:val="clear" w:color="auto" w:fill="000000"/>
          </w:tcPr>
          <w:p w:rsidR="009609BF" w:rsidRDefault="009609BF">
            <w:pPr>
              <w:jc w:val="center"/>
              <w:rPr>
                <w:rFonts w:ascii="Times New Roman" w:eastAsia="Times New Roman" w:hAnsi="Times New Roman" w:cs="Times New Roman"/>
                <w:b/>
                <w:color w:val="FFFFFF"/>
                <w:sz w:val="8"/>
                <w:szCs w:val="8"/>
              </w:rPr>
            </w:pPr>
          </w:p>
          <w:p w:rsidR="009609BF" w:rsidRDefault="0066183D">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RECETAR</w:t>
            </w:r>
          </w:p>
          <w:p w:rsidR="009609BF" w:rsidRDefault="009609BF">
            <w:pPr>
              <w:jc w:val="center"/>
              <w:rPr>
                <w:rFonts w:ascii="Times New Roman" w:eastAsia="Times New Roman" w:hAnsi="Times New Roman" w:cs="Times New Roman"/>
                <w:b/>
                <w:color w:val="FFFFFF"/>
                <w:sz w:val="8"/>
                <w:szCs w:val="8"/>
              </w:rPr>
            </w:pPr>
          </w:p>
        </w:tc>
        <w:tc>
          <w:tcPr>
            <w:tcW w:w="2124" w:type="dxa"/>
            <w:shd w:val="clear" w:color="auto" w:fill="000000"/>
          </w:tcPr>
          <w:p w:rsidR="009609BF" w:rsidRDefault="009609BF">
            <w:pPr>
              <w:jc w:val="center"/>
              <w:rPr>
                <w:rFonts w:ascii="Times New Roman" w:eastAsia="Times New Roman" w:hAnsi="Times New Roman" w:cs="Times New Roman"/>
                <w:b/>
                <w:color w:val="FFFFFF"/>
                <w:sz w:val="8"/>
                <w:szCs w:val="8"/>
              </w:rPr>
            </w:pPr>
          </w:p>
          <w:p w:rsidR="009609BF" w:rsidRDefault="0066183D">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EXPRESAR</w:t>
            </w:r>
          </w:p>
          <w:p w:rsidR="009609BF" w:rsidRDefault="009609BF">
            <w:pPr>
              <w:jc w:val="center"/>
              <w:rPr>
                <w:rFonts w:ascii="Times New Roman" w:eastAsia="Times New Roman" w:hAnsi="Times New Roman" w:cs="Times New Roman"/>
                <w:b/>
                <w:color w:val="FFFFFF"/>
                <w:sz w:val="8"/>
                <w:szCs w:val="8"/>
              </w:rPr>
            </w:pPr>
          </w:p>
        </w:tc>
        <w:tc>
          <w:tcPr>
            <w:tcW w:w="2124" w:type="dxa"/>
            <w:shd w:val="clear" w:color="auto" w:fill="000000"/>
          </w:tcPr>
          <w:p w:rsidR="009609BF" w:rsidRDefault="009609BF">
            <w:pPr>
              <w:jc w:val="center"/>
              <w:rPr>
                <w:rFonts w:ascii="Times New Roman" w:eastAsia="Times New Roman" w:hAnsi="Times New Roman" w:cs="Times New Roman"/>
                <w:b/>
                <w:color w:val="FFFFFF"/>
                <w:sz w:val="8"/>
                <w:szCs w:val="8"/>
              </w:rPr>
            </w:pPr>
          </w:p>
          <w:p w:rsidR="009609BF" w:rsidRDefault="0066183D">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MANIFESTAR</w:t>
            </w:r>
          </w:p>
          <w:p w:rsidR="009609BF" w:rsidRDefault="009609BF">
            <w:pPr>
              <w:jc w:val="center"/>
              <w:rPr>
                <w:rFonts w:ascii="Times New Roman" w:eastAsia="Times New Roman" w:hAnsi="Times New Roman" w:cs="Times New Roman"/>
                <w:b/>
                <w:color w:val="FFFFFF"/>
                <w:sz w:val="8"/>
                <w:szCs w:val="8"/>
              </w:rPr>
            </w:pPr>
          </w:p>
        </w:tc>
      </w:tr>
      <w:tr w:rsidR="009609BF">
        <w:tc>
          <w:tcPr>
            <w:tcW w:w="2123" w:type="dxa"/>
          </w:tcPr>
          <w:p w:rsidR="009609BF" w:rsidRDefault="009609BF">
            <w:pPr>
              <w:jc w:val="both"/>
              <w:rPr>
                <w:rFonts w:ascii="Times New Roman" w:eastAsia="Times New Roman" w:hAnsi="Times New Roman" w:cs="Times New Roman"/>
                <w:color w:val="000000"/>
                <w:sz w:val="16"/>
                <w:szCs w:val="16"/>
              </w:rPr>
            </w:pPr>
          </w:p>
          <w:p w:rsidR="009609BF" w:rsidRDefault="0066183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Expresar con palabras una idea</w:t>
            </w:r>
            <w:r>
              <w:rPr>
                <w:rFonts w:ascii="Times New Roman" w:eastAsia="Times New Roman" w:hAnsi="Times New Roman" w:cs="Times New Roman"/>
                <w:color w:val="000000"/>
                <w:sz w:val="16"/>
                <w:szCs w:val="16"/>
                <w:vertAlign w:val="superscript"/>
              </w:rPr>
              <w:footnoteReference w:id="2"/>
            </w:r>
            <w:r>
              <w:rPr>
                <w:rFonts w:ascii="Times New Roman" w:eastAsia="Times New Roman" w:hAnsi="Times New Roman" w:cs="Times New Roman"/>
                <w:color w:val="000000"/>
                <w:sz w:val="16"/>
                <w:szCs w:val="16"/>
              </w:rPr>
              <w:t>.</w:t>
            </w:r>
          </w:p>
        </w:tc>
        <w:tc>
          <w:tcPr>
            <w:tcW w:w="2123" w:type="dxa"/>
          </w:tcPr>
          <w:p w:rsidR="009609BF" w:rsidRDefault="009609BF">
            <w:pPr>
              <w:jc w:val="both"/>
              <w:rPr>
                <w:rFonts w:ascii="Times New Roman" w:eastAsia="Times New Roman" w:hAnsi="Times New Roman" w:cs="Times New Roman"/>
                <w:color w:val="000000"/>
                <w:sz w:val="16"/>
                <w:szCs w:val="16"/>
              </w:rPr>
            </w:pPr>
          </w:p>
          <w:p w:rsidR="009609BF" w:rsidRDefault="0066183D">
            <w:pP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6"/>
                <w:szCs w:val="16"/>
              </w:rPr>
              <w:t>Pedir algo de palabra o por escrito</w:t>
            </w:r>
            <w:r>
              <w:rPr>
                <w:rFonts w:ascii="Times New Roman" w:eastAsia="Times New Roman" w:hAnsi="Times New Roman" w:cs="Times New Roman"/>
                <w:color w:val="000000"/>
                <w:sz w:val="16"/>
                <w:szCs w:val="16"/>
                <w:vertAlign w:val="superscript"/>
              </w:rPr>
              <w:footnoteReference w:id="3"/>
            </w:r>
            <w:r>
              <w:rPr>
                <w:rFonts w:ascii="Times New Roman" w:eastAsia="Times New Roman" w:hAnsi="Times New Roman" w:cs="Times New Roman"/>
                <w:color w:val="000000"/>
                <w:sz w:val="16"/>
                <w:szCs w:val="16"/>
              </w:rPr>
              <w:t>.</w:t>
            </w:r>
          </w:p>
        </w:tc>
        <w:tc>
          <w:tcPr>
            <w:tcW w:w="2124" w:type="dxa"/>
          </w:tcPr>
          <w:p w:rsidR="009609BF" w:rsidRDefault="009609BF">
            <w:pPr>
              <w:jc w:val="both"/>
              <w:rPr>
                <w:rFonts w:ascii="Times New Roman" w:eastAsia="Times New Roman" w:hAnsi="Times New Roman" w:cs="Times New Roman"/>
                <w:color w:val="000000"/>
                <w:sz w:val="8"/>
                <w:szCs w:val="8"/>
              </w:rPr>
            </w:pPr>
          </w:p>
          <w:p w:rsidR="009609BF" w:rsidRDefault="0066183D">
            <w:pP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Manifestar con palabras, miradas o gestos lo que se quiere dar a entender</w:t>
            </w:r>
            <w:r>
              <w:rPr>
                <w:rFonts w:ascii="Times New Roman" w:eastAsia="Times New Roman" w:hAnsi="Times New Roman" w:cs="Times New Roman"/>
                <w:color w:val="000000"/>
                <w:sz w:val="16"/>
                <w:szCs w:val="16"/>
                <w:vertAlign w:val="superscript"/>
              </w:rPr>
              <w:footnoteReference w:id="4"/>
            </w:r>
            <w:r>
              <w:rPr>
                <w:rFonts w:ascii="Times New Roman" w:eastAsia="Times New Roman" w:hAnsi="Times New Roman" w:cs="Times New Roman"/>
                <w:color w:val="000000"/>
                <w:sz w:val="16"/>
                <w:szCs w:val="16"/>
              </w:rPr>
              <w:t>.</w:t>
            </w:r>
          </w:p>
          <w:p w:rsidR="009609BF" w:rsidRDefault="009609BF">
            <w:pPr>
              <w:jc w:val="both"/>
              <w:rPr>
                <w:rFonts w:ascii="Times New Roman" w:eastAsia="Times New Roman" w:hAnsi="Times New Roman" w:cs="Times New Roman"/>
                <w:color w:val="000000"/>
                <w:sz w:val="8"/>
                <w:szCs w:val="8"/>
              </w:rPr>
            </w:pPr>
          </w:p>
        </w:tc>
        <w:tc>
          <w:tcPr>
            <w:tcW w:w="2124" w:type="dxa"/>
          </w:tcPr>
          <w:p w:rsidR="009609BF" w:rsidRDefault="009609BF">
            <w:pPr>
              <w:jc w:val="both"/>
              <w:rPr>
                <w:rFonts w:ascii="Times New Roman" w:eastAsia="Times New Roman" w:hAnsi="Times New Roman" w:cs="Times New Roman"/>
                <w:color w:val="000000"/>
                <w:sz w:val="24"/>
                <w:szCs w:val="24"/>
              </w:rPr>
            </w:pPr>
          </w:p>
          <w:p w:rsidR="009609BF" w:rsidRDefault="0066183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6"/>
                <w:szCs w:val="16"/>
              </w:rPr>
              <w:t>Declarar dar a conocer</w:t>
            </w:r>
            <w:r>
              <w:rPr>
                <w:rFonts w:ascii="Times New Roman" w:eastAsia="Times New Roman" w:hAnsi="Times New Roman" w:cs="Times New Roman"/>
                <w:color w:val="000000"/>
                <w:sz w:val="16"/>
                <w:szCs w:val="16"/>
                <w:vertAlign w:val="superscript"/>
              </w:rPr>
              <w:footnoteReference w:id="5"/>
            </w:r>
            <w:r>
              <w:rPr>
                <w:rFonts w:ascii="Times New Roman" w:eastAsia="Times New Roman" w:hAnsi="Times New Roman" w:cs="Times New Roman"/>
                <w:color w:val="000000"/>
                <w:sz w:val="16"/>
                <w:szCs w:val="16"/>
              </w:rPr>
              <w:t>.</w:t>
            </w:r>
          </w:p>
        </w:tc>
      </w:tr>
    </w:tbl>
    <w:p w:rsidR="009609BF" w:rsidRDefault="009609BF">
      <w:pPr>
        <w:spacing w:after="0" w:line="276" w:lineRule="auto"/>
        <w:jc w:val="center"/>
        <w:rPr>
          <w:rFonts w:ascii="Times New Roman" w:eastAsia="Times New Roman" w:hAnsi="Times New Roman" w:cs="Times New Roman"/>
          <w:color w:val="FF0000"/>
          <w:sz w:val="8"/>
          <w:szCs w:val="8"/>
          <w:highlight w:val="yellow"/>
        </w:rPr>
      </w:pPr>
    </w:p>
    <w:p w:rsidR="009609BF" w:rsidRDefault="0066183D">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Fuente: Elaboración propia</w:t>
      </w:r>
    </w:p>
    <w:p w:rsidR="009609BF" w:rsidRDefault="009609BF">
      <w:pPr>
        <w:spacing w:after="0" w:line="276" w:lineRule="auto"/>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Como ha quedado evidenciado formular, </w:t>
      </w:r>
      <w:r>
        <w:rPr>
          <w:rFonts w:ascii="Times New Roman" w:eastAsia="Times New Roman" w:hAnsi="Times New Roman" w:cs="Times New Roman"/>
          <w:b/>
          <w:color w:val="000000"/>
          <w:sz w:val="24"/>
          <w:szCs w:val="24"/>
        </w:rPr>
        <w:t>es hacer de conocimiento algo</w:t>
      </w:r>
      <w:r>
        <w:rPr>
          <w:rFonts w:ascii="Times New Roman" w:eastAsia="Times New Roman" w:hAnsi="Times New Roman" w:cs="Times New Roman"/>
          <w:color w:val="000000"/>
          <w:sz w:val="24"/>
          <w:szCs w:val="24"/>
        </w:rPr>
        <w:t xml:space="preserve">, ahora bien; la anunciación puede ser de forma escrita u oral, esto es evidente, entonces quizás alguien podría preguntarse cuando el N.C.P.P. 2004 en el </w:t>
      </w:r>
      <w:r>
        <w:rPr>
          <w:rFonts w:ascii="Times New Roman" w:eastAsia="Times New Roman" w:hAnsi="Times New Roman" w:cs="Times New Roman"/>
          <w:b/>
          <w:color w:val="000000"/>
          <w:sz w:val="24"/>
          <w:szCs w:val="24"/>
        </w:rPr>
        <w:t>inciso 1)</w:t>
      </w:r>
      <w:r>
        <w:rPr>
          <w:rFonts w:ascii="Times New Roman" w:eastAsia="Times New Roman" w:hAnsi="Times New Roman" w:cs="Times New Roman"/>
          <w:color w:val="000000"/>
          <w:sz w:val="24"/>
          <w:szCs w:val="24"/>
        </w:rPr>
        <w:t xml:space="preserve"> de su </w:t>
      </w:r>
      <w:r>
        <w:rPr>
          <w:rFonts w:ascii="Times New Roman" w:eastAsia="Times New Roman" w:hAnsi="Times New Roman" w:cs="Times New Roman"/>
          <w:b/>
          <w:color w:val="000000"/>
          <w:sz w:val="24"/>
          <w:szCs w:val="24"/>
        </w:rPr>
        <w:t>artículo 468,</w:t>
      </w:r>
      <w:r>
        <w:rPr>
          <w:rFonts w:ascii="Times New Roman" w:eastAsia="Times New Roman" w:hAnsi="Times New Roman" w:cs="Times New Roman"/>
          <w:color w:val="000000"/>
          <w:sz w:val="24"/>
          <w:szCs w:val="24"/>
        </w:rPr>
        <w:t xml:space="preserve"> hace mención </w:t>
      </w:r>
      <w:r>
        <w:rPr>
          <w:rFonts w:ascii="Times New Roman" w:eastAsia="Times New Roman" w:hAnsi="Times New Roman" w:cs="Times New Roman"/>
          <w:b/>
          <w:color w:val="000000"/>
          <w:sz w:val="24"/>
          <w:szCs w:val="24"/>
        </w:rPr>
        <w:t>hasta antes de formular acusación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¿A qué se refiere?, </w:t>
      </w:r>
      <w:r>
        <w:rPr>
          <w:rFonts w:ascii="Times New Roman" w:eastAsia="Times New Roman" w:hAnsi="Times New Roman" w:cs="Times New Roman"/>
          <w:color w:val="000000"/>
          <w:sz w:val="24"/>
          <w:szCs w:val="24"/>
        </w:rPr>
        <w:t xml:space="preserve">quizás, para alguien ajeno al Derecho Procesal Penal, que solo realice una lectura rápida del inciso antes mencionado pueda surgir alguna duda; sin embargo, el formular A.F. o R.A., hace </w:t>
      </w:r>
      <w:r>
        <w:rPr>
          <w:rFonts w:ascii="Times New Roman" w:eastAsia="Times New Roman" w:hAnsi="Times New Roman" w:cs="Times New Roman"/>
          <w:color w:val="000000"/>
          <w:sz w:val="24"/>
          <w:szCs w:val="24"/>
        </w:rPr>
        <w:lastRenderedPageBreak/>
        <w:t xml:space="preserve">referencia al escrito que el Fiscal presentará ante el órgano judicial -cumpliendo las exigencias del artículo 349 del N.C.P.P. 2004-; entonces, no se trata que en la audiencia de control de acusación se emita una nueva A.F. o R.A., sino lo que se hace es </w:t>
      </w:r>
      <w:proofErr w:type="spellStart"/>
      <w:r>
        <w:rPr>
          <w:rFonts w:ascii="Times New Roman" w:eastAsia="Times New Roman" w:hAnsi="Times New Roman" w:cs="Times New Roman"/>
          <w:color w:val="000000"/>
          <w:sz w:val="24"/>
          <w:szCs w:val="24"/>
        </w:rPr>
        <w:t>oralizar</w:t>
      </w:r>
      <w:proofErr w:type="spellEnd"/>
      <w:r>
        <w:rPr>
          <w:rFonts w:ascii="Times New Roman" w:eastAsia="Times New Roman" w:hAnsi="Times New Roman" w:cs="Times New Roman"/>
          <w:color w:val="000000"/>
          <w:sz w:val="24"/>
          <w:szCs w:val="24"/>
        </w:rPr>
        <w:t xml:space="preserve"> lo que ya fue plasmado por escrito y comunicado a los sujetos procesales, como señalé antes citando al profesor San Martin Castro, al formular la A.F. o R.A., el fiscal no solo ha hecho conocer su postura respecto a los hechos que fueron objeto de investigación, sino que ha delimitado el debate, </w:t>
      </w:r>
      <w:r>
        <w:rPr>
          <w:rFonts w:ascii="Times New Roman" w:eastAsia="Times New Roman" w:hAnsi="Times New Roman" w:cs="Times New Roman"/>
          <w:i/>
          <w:color w:val="000000"/>
          <w:sz w:val="24"/>
          <w:szCs w:val="24"/>
        </w:rPr>
        <w:t xml:space="preserve">contrario sensu </w:t>
      </w:r>
      <w:r>
        <w:rPr>
          <w:rFonts w:ascii="Times New Roman" w:eastAsia="Times New Roman" w:hAnsi="Times New Roman" w:cs="Times New Roman"/>
          <w:color w:val="000000"/>
          <w:sz w:val="24"/>
          <w:szCs w:val="24"/>
        </w:rPr>
        <w:t xml:space="preserve">se podría malentender que el escrito de la A.F. o R.A., es una mera formalidad y de ninguno modo esto puede ser entendido así. </w:t>
      </w:r>
    </w:p>
    <w:p w:rsidR="009609BF" w:rsidRDefault="009609BF">
      <w:pPr>
        <w:tabs>
          <w:tab w:val="left" w:pos="567"/>
        </w:tabs>
        <w:spacing w:after="0" w:line="276" w:lineRule="auto"/>
        <w:jc w:val="both"/>
        <w:rPr>
          <w:rFonts w:ascii="Times New Roman" w:eastAsia="Times New Roman" w:hAnsi="Times New Roman" w:cs="Times New Roman"/>
          <w:color w:val="FF0000"/>
          <w:sz w:val="24"/>
          <w:szCs w:val="24"/>
          <w:highlight w:val="yellow"/>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Aunado a lo antes expresado, es necesario recalcar que el N.C.P.P. 2004, no puede ser analizado artículo por artículo de forma individual, sino por el contrario se deberá de realizar una revisión integral y sistemática de este, de hacerlo se corroborará que en distintas partes se hace referencia a </w:t>
      </w:r>
      <w:r>
        <w:rPr>
          <w:rFonts w:ascii="Times New Roman" w:eastAsia="Times New Roman" w:hAnsi="Times New Roman" w:cs="Times New Roman"/>
          <w:b/>
          <w:color w:val="000000"/>
          <w:sz w:val="24"/>
          <w:szCs w:val="24"/>
        </w:rPr>
        <w:t>formular acusación</w:t>
      </w:r>
      <w:r>
        <w:rPr>
          <w:rFonts w:ascii="Times New Roman" w:eastAsia="Times New Roman" w:hAnsi="Times New Roman" w:cs="Times New Roman"/>
          <w:color w:val="000000"/>
          <w:sz w:val="24"/>
          <w:szCs w:val="24"/>
        </w:rPr>
        <w:t xml:space="preserve">, por ejemplo el inciso 1 del artículo 344, al me referí antes, señala “Dispuesta la conclusión de la Investigación Preparatoria, de conformidad con el numeral 1) del artículo 343, el Fiscal decidirá en el plazo de quince días si </w:t>
      </w:r>
      <w:r>
        <w:rPr>
          <w:rFonts w:ascii="Times New Roman" w:eastAsia="Times New Roman" w:hAnsi="Times New Roman" w:cs="Times New Roman"/>
          <w:b/>
          <w:color w:val="000000"/>
          <w:sz w:val="24"/>
          <w:szCs w:val="24"/>
        </w:rPr>
        <w:t>formula acusación,</w:t>
      </w:r>
      <w:r>
        <w:rPr>
          <w:rFonts w:ascii="Times New Roman" w:eastAsia="Times New Roman" w:hAnsi="Times New Roman" w:cs="Times New Roman"/>
          <w:color w:val="000000"/>
          <w:sz w:val="24"/>
          <w:szCs w:val="24"/>
        </w:rPr>
        <w:t xml:space="preserve"> siempre que exista base suficiente para ello …” (Nuevo Código Procesal Penal, 2004), la postura del Fiscal se traducirá en la formulación de la A.F. o R.A., que se plasmará por escrito en plazo de quince o treinta días dependiendo del tipo de caso -simple, complejo o de crimen organizado-, resultaría ilógico pensar que en este caso se hace referencia a una formulación oral, o es que acaso a los quince días el Fiscal se presentará ante el órgano judicial y formulará oralmente su requerimiento,  evidentemente esto no es así. </w:t>
      </w:r>
    </w:p>
    <w:p w:rsidR="009609BF" w:rsidRDefault="009609BF">
      <w:pPr>
        <w:tabs>
          <w:tab w:val="left" w:pos="567"/>
        </w:tabs>
        <w:spacing w:after="0" w:line="276" w:lineRule="auto"/>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Finalmente considero que se incurriría en un error si se confunde el </w:t>
      </w:r>
      <w:proofErr w:type="spellStart"/>
      <w:r>
        <w:rPr>
          <w:rFonts w:ascii="Times New Roman" w:eastAsia="Times New Roman" w:hAnsi="Times New Roman" w:cs="Times New Roman"/>
          <w:color w:val="000000"/>
          <w:sz w:val="24"/>
          <w:szCs w:val="24"/>
        </w:rPr>
        <w:t>oralizar</w:t>
      </w:r>
      <w:proofErr w:type="spellEnd"/>
      <w:r>
        <w:rPr>
          <w:rFonts w:ascii="Times New Roman" w:eastAsia="Times New Roman" w:hAnsi="Times New Roman" w:cs="Times New Roman"/>
          <w:color w:val="000000"/>
          <w:sz w:val="24"/>
          <w:szCs w:val="24"/>
        </w:rPr>
        <w:t xml:space="preserve"> algo que ya fue formulado o planteado por escrito, con el formular de forma oral, es por ello que considero acertado lo señalado por el profesor Cubas Villanueva, respecto a la oportunidad para incoar una T.A. “solo podrá instarse una vez expedida la disposición fiscal de formalización y continuación de la investigación preparatoria y hasta antes de formularse acusación fiscal; es decir, solo podrá realizarse durante la investigación preparatoria y por una vez” (2009, p. 580). </w:t>
      </w: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4.2. Acuerdo Plenario N.º 5-2009/CJ-116 “Proceso de Terminación Anticipada: Aspectos Esenciales” de fecha 13/11/2009.-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w:t>
      </w:r>
      <w:r>
        <w:rPr>
          <w:rFonts w:ascii="Times New Roman" w:eastAsia="Times New Roman" w:hAnsi="Times New Roman" w:cs="Times New Roman"/>
          <w:b/>
          <w:color w:val="000000"/>
          <w:sz w:val="24"/>
          <w:szCs w:val="24"/>
        </w:rPr>
        <w:t>Acuerdo Plenario N.º 5-2009/CJ-116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“Proceso de Terminación Anticipada: Aspectos Esenciales” </w:t>
      </w:r>
      <w:r>
        <w:rPr>
          <w:rFonts w:ascii="Times New Roman" w:eastAsia="Times New Roman" w:hAnsi="Times New Roman" w:cs="Times New Roman"/>
          <w:color w:val="000000"/>
          <w:sz w:val="24"/>
          <w:szCs w:val="24"/>
        </w:rPr>
        <w:t xml:space="preserve">-en adelante el A.P.-, estableció pautas sobre el proceso especial de T.A., considero importante recalcar que entre los distintos jueces supremos que intervinieron en su gesta, se encontraron reconocidos profesores que han dedicado parte de su vida al estudio del Derecho Procesal Penal, entre otros, </w:t>
      </w:r>
      <w:r>
        <w:rPr>
          <w:rFonts w:ascii="Times New Roman" w:eastAsia="Times New Roman" w:hAnsi="Times New Roman" w:cs="Times New Roman"/>
          <w:b/>
          <w:color w:val="000000"/>
          <w:sz w:val="24"/>
          <w:szCs w:val="24"/>
        </w:rPr>
        <w:t xml:space="preserve">San Martin Castro, Príncipe Trujillo </w:t>
      </w:r>
      <w:r>
        <w:rPr>
          <w:rFonts w:ascii="Times New Roman" w:eastAsia="Times New Roman" w:hAnsi="Times New Roman" w:cs="Times New Roman"/>
          <w:color w:val="000000"/>
          <w:sz w:val="24"/>
          <w:szCs w:val="24"/>
        </w:rPr>
        <w:t>y</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Neyra</w:t>
      </w:r>
      <w:proofErr w:type="spellEnd"/>
      <w:r>
        <w:rPr>
          <w:rFonts w:ascii="Times New Roman" w:eastAsia="Times New Roman" w:hAnsi="Times New Roman" w:cs="Times New Roman"/>
          <w:b/>
          <w:color w:val="000000"/>
          <w:sz w:val="24"/>
          <w:szCs w:val="24"/>
        </w:rPr>
        <w:t xml:space="preserve"> Flores</w:t>
      </w:r>
      <w:r>
        <w:rPr>
          <w:rFonts w:ascii="Times New Roman" w:eastAsia="Times New Roman" w:hAnsi="Times New Roman" w:cs="Times New Roman"/>
          <w:color w:val="000000"/>
          <w:sz w:val="24"/>
          <w:szCs w:val="24"/>
        </w:rPr>
        <w:t xml:space="preserve">; ahora bien, de los distintos fundamentos del A.P. </w:t>
      </w:r>
      <w:r>
        <w:rPr>
          <w:rFonts w:ascii="Times New Roman" w:eastAsia="Times New Roman" w:hAnsi="Times New Roman" w:cs="Times New Roman"/>
          <w:color w:val="000000"/>
          <w:sz w:val="24"/>
          <w:szCs w:val="24"/>
        </w:rPr>
        <w:lastRenderedPageBreak/>
        <w:t xml:space="preserve">que constituyen doctrina legal, considero que debemos de prestar especial atención a los establecidos en  sus </w:t>
      </w:r>
      <w:r>
        <w:rPr>
          <w:rFonts w:ascii="Times New Roman" w:eastAsia="Times New Roman" w:hAnsi="Times New Roman" w:cs="Times New Roman"/>
          <w:b/>
          <w:color w:val="000000"/>
          <w:sz w:val="24"/>
          <w:szCs w:val="24"/>
        </w:rPr>
        <w:t>fundamentos 17 al 21</w:t>
      </w:r>
      <w:r>
        <w:rPr>
          <w:rFonts w:ascii="Times New Roman" w:eastAsia="Times New Roman" w:hAnsi="Times New Roman" w:cs="Times New Roman"/>
          <w:color w:val="000000"/>
          <w:sz w:val="24"/>
          <w:szCs w:val="24"/>
        </w:rPr>
        <w:t xml:space="preserve">, los que transcribo a continuación: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tabs>
          <w:tab w:val="left" w:pos="1134"/>
        </w:tabs>
        <w:spacing w:after="0" w:line="276" w:lineRule="auto"/>
        <w:ind w:left="1134"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Proceso de terminación anticipada y etapa intermedia del proceso común.</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color w:val="000000"/>
          <w:sz w:val="24"/>
          <w:szCs w:val="24"/>
        </w:rPr>
        <w:t xml:space="preserve"> Dentro de la estructura del proceso común, la etapa intermedia es imprescindible. Una de las funciones más importantes que debe cumplir es el control de los resultados de la investigación preparatoria, para lo cual ha de examinar el mérito de la acusación fiscal y los recaudos de la causa con el fin de decidir si procede o no abrir el juicio oral, el procedimiento principal.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1134"/>
        </w:tabs>
        <w:spacing w:after="0" w:line="276"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proceso de terminación anticipada no guarda correspondencia con el proceso común. Es un proceso especial sujeto a sus propias reglas de iniciación y con una estructura singular – etapas propias y actuaciones singulares no equiparables con el proceso común, basado en el principio estructural de contradicción y no en el consenso que informa al primero.- Además, el proceso de terminación anticipada se insta después de expedida la Disposición de Formalización y Continuación de la Investigación Preparatoria y hasta antes de formularse la acusación fiscal (artículo 468°.1 NCPP) y la audiencia especial y privada está sometida a determinadas pautas y ritos, muy distintos a los que rigen la audiencia de control de la acusación, acto de postulación que, a mayor abundamiento, no existe en la terminación anticipada.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El artículo 350°.</w:t>
      </w:r>
      <w:proofErr w:type="gramStart"/>
      <w:r>
        <w:rPr>
          <w:rFonts w:ascii="Times New Roman" w:eastAsia="Times New Roman" w:hAnsi="Times New Roman" w:cs="Times New Roman"/>
          <w:color w:val="000000"/>
          <w:sz w:val="24"/>
          <w:szCs w:val="24"/>
        </w:rPr>
        <w:t>1.e</w:t>
      </w:r>
      <w:proofErr w:type="gramEnd"/>
      <w:r>
        <w:rPr>
          <w:rFonts w:ascii="Times New Roman" w:eastAsia="Times New Roman" w:hAnsi="Times New Roman" w:cs="Times New Roman"/>
          <w:color w:val="000000"/>
          <w:sz w:val="24"/>
          <w:szCs w:val="24"/>
        </w:rPr>
        <w:t xml:space="preserve">) NCPP autoriza a las partes procesales, distintas del Fiscal, instar la aplicación, si fuere el caso, de un criterio de oportunidad, entendido en sentido amplio. Se discute si esta norma permitiría que en sede de etapa intermedia se instaure el proceso de terminación anticipada, bajo el entendido de que este último expresa un criterio de oportunidad procesal.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1134"/>
        </w:tabs>
        <w:spacing w:after="0" w:line="276"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 se ha dejado sentado las diferencias sustantivas entre el proceso especial de terminación anticipada y la etapa intermedia del proceso común. El primero tiene como eje el principio de consenso y una de sus funciones es la de servir a la celeridad procesal, mientras que la segunda tiene como elemento nuclear el principio de contradicción y el cuestionamiento -en la medida de lo posible y como alternativa más fuerte de la potestad de control de la legalidad de que está investido el órgano jurisdiccional – de la pretensión punitiva del Ministerio Público. El objeto del principio de oportunidad, entonces, es aquel que busca, en clave material, la dispensa de pena o una respuesta distinta de la reacción punitiva propia del sistema de sanciones del Código Penal y como tal según nuestras normas procesales, sólo puede estar destinada a la aplicación de los supuestos o “criterios” contemplados en el artículo 2° NCPP. Los mecanismos alternativos que buscan respuestas basadas en la idea del consenso (terminación anticipada, </w:t>
      </w:r>
      <w:r>
        <w:rPr>
          <w:rFonts w:ascii="Times New Roman" w:eastAsia="Times New Roman" w:hAnsi="Times New Roman" w:cs="Times New Roman"/>
          <w:color w:val="000000"/>
          <w:sz w:val="24"/>
          <w:szCs w:val="24"/>
        </w:rPr>
        <w:lastRenderedPageBreak/>
        <w:t xml:space="preserve">conformidad procesal y colaboración eficaz), por su propia especificidad y singularidad, unido a los controles jurisdiccionales que corresponde realizar, están sometidos a un procedimiento determinado, que no tiene las características, alcances y metodología de la audiencia preliminar de control de la acusación. </w:t>
      </w:r>
    </w:p>
    <w:p w:rsidR="009609BF" w:rsidRDefault="0066183D">
      <w:pPr>
        <w:tabs>
          <w:tab w:val="left" w:pos="1134"/>
        </w:tabs>
        <w:spacing w:after="0" w:line="276"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otro lado, es de acotar que cuando el citado artículo 350°.1e) NCPP prescribe que en la etapa intermedia se puede aplicar un criterio de oportunidad, tal referencia, sistemáticamente, sólo remite al artículo 2° NCPP. La confusión se debe a que el antecedente directo del principio de oportunidad es el artículo 230° del Código Procesal Penal Modelo para Iberoamérica, que denomina a este dispositivo “criterios de oportunidad”, los cuales, como se observa de su tenor, son los supuestos previstos en el mencionado artículo 2° NCPP.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19°.</w:t>
      </w:r>
      <w:r>
        <w:rPr>
          <w:rFonts w:ascii="Times New Roman" w:eastAsia="Times New Roman" w:hAnsi="Times New Roman" w:cs="Times New Roman"/>
          <w:color w:val="000000"/>
          <w:sz w:val="24"/>
          <w:szCs w:val="24"/>
        </w:rPr>
        <w:t xml:space="preserve"> A mayor abundamiento, la incorporación del proceso de terminación anticipada en la etapa intermedia del proceso común no sólo desnaturaliza su regulación propia y naturaleza jurídica, sino que tergiversa otro eje de su reconocimiento en el proceso penal nacional: la función de acortar los tiempos procesales y evitar las etapas procesales comunes intermedia y enjuiciamiento, precisamente uno de los fundamentos que permite el beneficio premial de reducción de la pena de una sexta parte. Si se incoa en sede de etapa intermedia no podría aplicarse, en sus propios términos, el artículo 471° NCPP por no cumplir su finalidad político criminal.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w:t>
      </w:r>
      <w:r>
        <w:rPr>
          <w:rFonts w:ascii="Times New Roman" w:eastAsia="Times New Roman" w:hAnsi="Times New Roman" w:cs="Times New Roman"/>
          <w:color w:val="000000"/>
          <w:sz w:val="24"/>
          <w:szCs w:val="24"/>
        </w:rPr>
        <w:t xml:space="preserve"> La audiencia preliminar de control de acusación no está diseñada para concretar la terminación anticipada del proceso, pues en la primera solo es obligatoria la asistencia del Fiscal y el defensor del acusado, mientras que la audiencia de terminación anticipada se instalará con la asistencia obligatoria del Fiscal y del imputado y su abogado defensor. En caso de que no concurra el acusado concernido o los otros si fueran causas complejas o seguidos contra varios encausados, sería imposible desarrollar la audiencia de terminación anticipada. Su aceptación obligaría a fijar otra audiencia, con serio desmedro del principio de aceleramiento procesal. </w:t>
      </w:r>
    </w:p>
    <w:p w:rsidR="009609BF" w:rsidRDefault="009609BF">
      <w:pPr>
        <w:tabs>
          <w:tab w:val="left" w:pos="1134"/>
        </w:tabs>
        <w:spacing w:after="0" w:line="276" w:lineRule="auto"/>
        <w:ind w:left="1134"/>
        <w:jc w:val="both"/>
        <w:rPr>
          <w:rFonts w:ascii="Times New Roman" w:eastAsia="Times New Roman" w:hAnsi="Times New Roman" w:cs="Times New Roman"/>
          <w:color w:val="000000"/>
          <w:sz w:val="8"/>
          <w:szCs w:val="8"/>
        </w:rPr>
      </w:pPr>
    </w:p>
    <w:p w:rsidR="009609BF" w:rsidRDefault="0066183D">
      <w:pPr>
        <w:tabs>
          <w:tab w:val="left" w:pos="1134"/>
        </w:tabs>
        <w:spacing w:after="0" w:line="276"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Desde la perspectiva de los demás sujetos procesales también se producen inconvenientes. Al no ser obligatoria la presencia de ellos no se podrían oponer a la realización de esta audiencia, pues como señala el artículo 468°.3 NCPP el requerimiento fiscal o la solicitud del imputado será puesta en conocimiento de todas las partes por el plazo de cinco días, quienes se pronunciarán acerca de la procedencia del proceso de terminación anticipada y, en su caso, formular sus pretensiones. Empero, al aplicar la terminación anticipada en la etapa intermedia tal trámite, indispensable, no será posible. </w:t>
      </w:r>
    </w:p>
    <w:p w:rsidR="009609BF" w:rsidRDefault="009609BF">
      <w:pPr>
        <w:tabs>
          <w:tab w:val="left" w:pos="567"/>
        </w:tabs>
        <w:spacing w:after="0" w:line="276" w:lineRule="auto"/>
        <w:ind w:left="567"/>
        <w:jc w:val="both"/>
        <w:rPr>
          <w:rFonts w:ascii="Times New Roman" w:eastAsia="Times New Roman" w:hAnsi="Times New Roman" w:cs="Times New Roman"/>
          <w:color w:val="000000"/>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21°.</w:t>
      </w:r>
      <w:r>
        <w:rPr>
          <w:rFonts w:ascii="Times New Roman" w:eastAsia="Times New Roman" w:hAnsi="Times New Roman" w:cs="Times New Roman"/>
          <w:color w:val="000000"/>
          <w:sz w:val="24"/>
          <w:szCs w:val="24"/>
        </w:rPr>
        <w:t xml:space="preserve"> De lo expuesto en los párrafos anteriores se colige que la incorporación pretoriana de la terminación anticipada en la etapa intermedia afecta gravemente el principio estructural de contradicción procesal, reconocido en el artículo I.1 del Título Preliminar NCPP, comprendido a su vez en la garantía de defensa procesal reconocida en el artículo 139°. 14 de la Constitución, desarrollada en el artículo IX del Título Preliminar NCPP. El indicado principio y la garantía procesal aludida integran el Programa procesal penal de la Constitución, que podrían afectarse seriamente si se permite tan insólito proceder, ausente de base legislativa y sustento jurídico procesal. (V pleno Jurisdiccional de las Salas Penales Permanente y Transitorias de la Corte Suprema de Justicia de la República, Acuerdo Plenario N.º 5-2009/CJ-116, 2009).</w:t>
      </w: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señalé en un inicio el N.C.P.P. 2004 regula un proceso penal común y siete procesos especiales, el motivo por el cual el legislador realizó esta distinción radica en que cada proceso tiene características propias, por ello estos se rigen por distintos principios, el </w:t>
      </w:r>
      <w:r>
        <w:rPr>
          <w:rFonts w:ascii="Times New Roman" w:eastAsia="Times New Roman" w:hAnsi="Times New Roman" w:cs="Times New Roman"/>
          <w:b/>
          <w:color w:val="000000"/>
          <w:sz w:val="24"/>
          <w:szCs w:val="24"/>
        </w:rPr>
        <w:t>proceso penal común se rige por el Principio de Contradicción</w:t>
      </w:r>
      <w:r>
        <w:rPr>
          <w:rFonts w:ascii="Times New Roman" w:eastAsia="Times New Roman" w:hAnsi="Times New Roman" w:cs="Times New Roman"/>
          <w:color w:val="000000"/>
          <w:sz w:val="24"/>
          <w:szCs w:val="24"/>
        </w:rPr>
        <w:t xml:space="preserve">, el cual en palabras del profesor Cubas Villanueva “consiste en el recíproco control de la actividad procesal y la oposición de argumentos y razones entre los contendientes sobre las diversas cuestiones introducidas que constituyen su objeto” (2009, p. 38), a diferencia del </w:t>
      </w:r>
      <w:r>
        <w:rPr>
          <w:rFonts w:ascii="Times New Roman" w:eastAsia="Times New Roman" w:hAnsi="Times New Roman" w:cs="Times New Roman"/>
          <w:b/>
          <w:color w:val="000000"/>
          <w:sz w:val="24"/>
          <w:szCs w:val="24"/>
        </w:rPr>
        <w:t>proceso especial de T.A., que obedece el Principio de Consenso</w:t>
      </w:r>
      <w:r>
        <w:rPr>
          <w:rFonts w:ascii="Times New Roman" w:eastAsia="Times New Roman" w:hAnsi="Times New Roman" w:cs="Times New Roman"/>
          <w:color w:val="000000"/>
          <w:sz w:val="24"/>
          <w:szCs w:val="24"/>
        </w:rPr>
        <w:t xml:space="preserve">, el cual de acuerdo al profesor </w:t>
      </w:r>
      <w:proofErr w:type="spellStart"/>
      <w:r>
        <w:rPr>
          <w:rFonts w:ascii="Times New Roman" w:eastAsia="Times New Roman" w:hAnsi="Times New Roman" w:cs="Times New Roman"/>
          <w:color w:val="000000"/>
          <w:sz w:val="24"/>
          <w:szCs w:val="24"/>
        </w:rPr>
        <w:t>Neyra</w:t>
      </w:r>
      <w:proofErr w:type="spellEnd"/>
      <w:r>
        <w:rPr>
          <w:rFonts w:ascii="Times New Roman" w:eastAsia="Times New Roman" w:hAnsi="Times New Roman" w:cs="Times New Roman"/>
          <w:color w:val="000000"/>
          <w:sz w:val="24"/>
          <w:szCs w:val="24"/>
        </w:rPr>
        <w:t xml:space="preserve"> Flores “da un margen de negociación entre las partes del proceso permitiéndose que la causa concluya durante la investigación preparatoria” (2010, p. 468). Finalmente, el A.P. resalta que no debemos de confundir la T.A. con el P.O., puesto que de ser así, incurriríamos en un error que nos lleve a sostener que es posible incoar una T.A. durante la E.I., es más, se hace mención  de que la audiencia de control de acusación tiene una estructura propia destinada a “controlar el requerimiento acusatorio del fiscal, y más precisamente evitar que se formule acusación contra un procesado sin fundamento material o probatorio suficiente” (Príncipe Trujillo, 2009, p. 238); quedando establecido así, que dentro de la esta audiencia no puede incoarse una T.A.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4.3. Pleno Jurisdiccional Distrital en Materia Penal – Corte Superior de Justicia de Ancash 2018.- </w:t>
      </w: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19 de octubre de 2018, en la Corte Superior de Justicia de Ancash, se celebró el Pleno Jurisdiccional Distrital en Materia Penal – 2018, en cual se establecieron distintos criterios interpretativos, el que incumbe al presente artículo, fue el desarrollado en el </w:t>
      </w:r>
      <w:r>
        <w:rPr>
          <w:rFonts w:ascii="Times New Roman" w:eastAsia="Times New Roman" w:hAnsi="Times New Roman" w:cs="Times New Roman"/>
          <w:b/>
          <w:color w:val="000000"/>
          <w:sz w:val="24"/>
          <w:szCs w:val="24"/>
        </w:rPr>
        <w:t xml:space="preserve">TEMA N.º 2 “NECESIDAD DE REEVALUAR LA APLICACIÓN DE LA TERMINACIÓN ANTICIPADA EN LA ETAPA INTERMEDIA DEL CÓDIGO </w:t>
      </w:r>
      <w:r>
        <w:rPr>
          <w:rFonts w:ascii="Times New Roman" w:eastAsia="Times New Roman" w:hAnsi="Times New Roman" w:cs="Times New Roman"/>
          <w:b/>
          <w:color w:val="000000"/>
          <w:sz w:val="24"/>
          <w:szCs w:val="24"/>
        </w:rPr>
        <w:lastRenderedPageBreak/>
        <w:t>PROCESAL PENAL”,</w:t>
      </w:r>
      <w:r>
        <w:rPr>
          <w:rFonts w:ascii="Times New Roman" w:eastAsia="Times New Roman" w:hAnsi="Times New Roman" w:cs="Times New Roman"/>
          <w:color w:val="000000"/>
          <w:sz w:val="24"/>
          <w:szCs w:val="24"/>
        </w:rPr>
        <w:t xml:space="preserve"> en mérito a este se postularon dos ponencias como preciso en la siguiente tabla: </w:t>
      </w:r>
    </w:p>
    <w:p w:rsidR="009609BF" w:rsidRDefault="009609BF">
      <w:pPr>
        <w:spacing w:after="0" w:line="276" w:lineRule="auto"/>
        <w:ind w:firstLine="708"/>
        <w:jc w:val="both"/>
        <w:rPr>
          <w:rFonts w:ascii="Times New Roman" w:eastAsia="Times New Roman" w:hAnsi="Times New Roman" w:cs="Times New Roman"/>
          <w:color w:val="FF0000"/>
          <w:sz w:val="24"/>
          <w:szCs w:val="24"/>
          <w:highlight w:val="yellow"/>
        </w:rPr>
      </w:pPr>
    </w:p>
    <w:tbl>
      <w:tblPr>
        <w:tblStyle w:val="a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9609BF">
        <w:tc>
          <w:tcPr>
            <w:tcW w:w="8494" w:type="dxa"/>
            <w:gridSpan w:val="2"/>
            <w:shd w:val="clear" w:color="auto" w:fill="000000"/>
          </w:tcPr>
          <w:p w:rsidR="009609BF" w:rsidRDefault="009609BF">
            <w:pPr>
              <w:spacing w:line="276" w:lineRule="auto"/>
              <w:jc w:val="center"/>
              <w:rPr>
                <w:rFonts w:ascii="Times New Roman" w:eastAsia="Times New Roman" w:hAnsi="Times New Roman" w:cs="Times New Roman"/>
                <w:b/>
                <w:color w:val="FFFFFF"/>
                <w:sz w:val="8"/>
                <w:szCs w:val="8"/>
              </w:rPr>
            </w:pPr>
          </w:p>
          <w:p w:rsidR="009609BF" w:rsidRDefault="0066183D">
            <w:pPr>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TEMA N.º 2 “NECESIDAD DE REEVALUAR LA APLICACIÓN DE LA TERMINACIÓN ANTICIPADA EN LA ETAPA INTERMEDIA DEL CÓDIGO PROCESAL PENAL”.</w:t>
            </w:r>
          </w:p>
          <w:p w:rsidR="009609BF" w:rsidRDefault="009609BF">
            <w:pPr>
              <w:spacing w:line="276" w:lineRule="auto"/>
              <w:jc w:val="center"/>
              <w:rPr>
                <w:rFonts w:ascii="Times New Roman" w:eastAsia="Times New Roman" w:hAnsi="Times New Roman" w:cs="Times New Roman"/>
                <w:b/>
                <w:color w:val="FFFFFF"/>
                <w:sz w:val="8"/>
                <w:szCs w:val="8"/>
              </w:rPr>
            </w:pPr>
          </w:p>
        </w:tc>
      </w:tr>
      <w:tr w:rsidR="009609BF">
        <w:tc>
          <w:tcPr>
            <w:tcW w:w="4247" w:type="dxa"/>
            <w:shd w:val="clear" w:color="auto" w:fill="000000"/>
          </w:tcPr>
          <w:p w:rsidR="009609BF" w:rsidRDefault="009609BF">
            <w:pPr>
              <w:spacing w:line="276" w:lineRule="auto"/>
              <w:jc w:val="center"/>
              <w:rPr>
                <w:rFonts w:ascii="Times New Roman" w:eastAsia="Times New Roman" w:hAnsi="Times New Roman" w:cs="Times New Roman"/>
                <w:b/>
                <w:color w:val="FFFFFF"/>
                <w:sz w:val="8"/>
                <w:szCs w:val="8"/>
              </w:rPr>
            </w:pPr>
          </w:p>
          <w:p w:rsidR="009609BF" w:rsidRDefault="0066183D">
            <w:pPr>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PRIMERA PONENCIA</w:t>
            </w:r>
          </w:p>
          <w:p w:rsidR="009609BF" w:rsidRDefault="009609BF">
            <w:pPr>
              <w:spacing w:line="276" w:lineRule="auto"/>
              <w:jc w:val="center"/>
              <w:rPr>
                <w:rFonts w:ascii="Times New Roman" w:eastAsia="Times New Roman" w:hAnsi="Times New Roman" w:cs="Times New Roman"/>
                <w:b/>
                <w:color w:val="FFFFFF"/>
                <w:sz w:val="8"/>
                <w:szCs w:val="8"/>
              </w:rPr>
            </w:pPr>
          </w:p>
        </w:tc>
        <w:tc>
          <w:tcPr>
            <w:tcW w:w="4247" w:type="dxa"/>
            <w:shd w:val="clear" w:color="auto" w:fill="000000"/>
          </w:tcPr>
          <w:p w:rsidR="009609BF" w:rsidRDefault="009609BF">
            <w:pPr>
              <w:spacing w:line="276" w:lineRule="auto"/>
              <w:jc w:val="center"/>
              <w:rPr>
                <w:rFonts w:ascii="Times New Roman" w:eastAsia="Times New Roman" w:hAnsi="Times New Roman" w:cs="Times New Roman"/>
                <w:b/>
                <w:color w:val="FFFFFF"/>
                <w:sz w:val="8"/>
                <w:szCs w:val="8"/>
              </w:rPr>
            </w:pPr>
          </w:p>
          <w:p w:rsidR="009609BF" w:rsidRDefault="0066183D">
            <w:pPr>
              <w:spacing w:line="276" w:lineRule="auto"/>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SEGUNDA PONENCIA</w:t>
            </w:r>
          </w:p>
          <w:p w:rsidR="009609BF" w:rsidRDefault="009609BF">
            <w:pPr>
              <w:spacing w:line="276" w:lineRule="auto"/>
              <w:jc w:val="center"/>
              <w:rPr>
                <w:rFonts w:ascii="Times New Roman" w:eastAsia="Times New Roman" w:hAnsi="Times New Roman" w:cs="Times New Roman"/>
                <w:b/>
                <w:color w:val="FFFFFF"/>
                <w:sz w:val="8"/>
                <w:szCs w:val="8"/>
              </w:rPr>
            </w:pPr>
          </w:p>
        </w:tc>
      </w:tr>
      <w:tr w:rsidR="009609BF">
        <w:tc>
          <w:tcPr>
            <w:tcW w:w="4247" w:type="dxa"/>
          </w:tcPr>
          <w:p w:rsidR="009609BF" w:rsidRDefault="009609BF">
            <w:pPr>
              <w:spacing w:line="276" w:lineRule="auto"/>
              <w:jc w:val="both"/>
              <w:rPr>
                <w:rFonts w:ascii="Times New Roman" w:eastAsia="Times New Roman" w:hAnsi="Times New Roman" w:cs="Times New Roman"/>
                <w:color w:val="000000"/>
                <w:sz w:val="36"/>
                <w:szCs w:val="36"/>
              </w:rPr>
            </w:pPr>
          </w:p>
          <w:p w:rsidR="009609BF" w:rsidRDefault="0066183D">
            <w:pPr>
              <w:spacing w:line="276"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16"/>
                <w:szCs w:val="16"/>
              </w:rPr>
              <w:t>NO ES PROCEDENTE,</w:t>
            </w:r>
            <w:r>
              <w:rPr>
                <w:rFonts w:ascii="Times New Roman" w:eastAsia="Times New Roman" w:hAnsi="Times New Roman" w:cs="Times New Roman"/>
                <w:color w:val="000000"/>
                <w:sz w:val="16"/>
                <w:szCs w:val="16"/>
              </w:rPr>
              <w:t xml:space="preserve"> la terminación anticipada (Proceso Especial) en la etapa intermedia porque se desnaturaliza el proceso común y trasgrede el principio estructural de contradicción </w:t>
            </w:r>
            <w:proofErr w:type="gramStart"/>
            <w:r>
              <w:rPr>
                <w:rFonts w:ascii="Times New Roman" w:eastAsia="Times New Roman" w:hAnsi="Times New Roman" w:cs="Times New Roman"/>
                <w:color w:val="000000"/>
                <w:sz w:val="16"/>
                <w:szCs w:val="16"/>
              </w:rPr>
              <w:t>procesal</w:t>
            </w:r>
            <w:proofErr w:type="gramEnd"/>
            <w:r>
              <w:rPr>
                <w:rFonts w:ascii="Times New Roman" w:eastAsia="Times New Roman" w:hAnsi="Times New Roman" w:cs="Times New Roman"/>
                <w:color w:val="000000"/>
                <w:sz w:val="16"/>
                <w:szCs w:val="16"/>
              </w:rPr>
              <w:t xml:space="preserve"> así como por no cumplir su finalidad político criminal.</w:t>
            </w:r>
          </w:p>
        </w:tc>
        <w:tc>
          <w:tcPr>
            <w:tcW w:w="4247" w:type="dxa"/>
          </w:tcPr>
          <w:p w:rsidR="009609BF" w:rsidRDefault="009609BF">
            <w:pPr>
              <w:spacing w:line="276" w:lineRule="auto"/>
              <w:jc w:val="both"/>
              <w:rPr>
                <w:rFonts w:ascii="Times New Roman" w:eastAsia="Times New Roman" w:hAnsi="Times New Roman" w:cs="Times New Roman"/>
                <w:color w:val="000000"/>
                <w:sz w:val="8"/>
                <w:szCs w:val="8"/>
              </w:rPr>
            </w:pP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SI ES PROCEDENTE,</w:t>
            </w:r>
            <w:r>
              <w:rPr>
                <w:rFonts w:ascii="Times New Roman" w:eastAsia="Times New Roman" w:hAnsi="Times New Roman" w:cs="Times New Roman"/>
                <w:color w:val="000000"/>
                <w:sz w:val="16"/>
                <w:szCs w:val="16"/>
              </w:rPr>
              <w:t xml:space="preserve"> desde una interpretación amplia, pues el fin de la terminación anticipada; pues el fin de la terminación anticipada es evitar etapas y audiencias innecesarias; además deben tenerse en cuenta la carga procesal que afrontan las fiscalías y juzgados en todo el país, así como las circunstancias especiales presentadas en la etapa intermedia como es el caso del reo ausento, de la acusación directa o de la integración o subsanación de la acusación fiscal. </w:t>
            </w:r>
          </w:p>
          <w:p w:rsidR="009609BF" w:rsidRDefault="009609BF">
            <w:pPr>
              <w:spacing w:line="276" w:lineRule="auto"/>
              <w:jc w:val="both"/>
              <w:rPr>
                <w:rFonts w:ascii="Times New Roman" w:eastAsia="Times New Roman" w:hAnsi="Times New Roman" w:cs="Times New Roman"/>
                <w:color w:val="000000"/>
                <w:sz w:val="8"/>
                <w:szCs w:val="8"/>
              </w:rPr>
            </w:pPr>
          </w:p>
        </w:tc>
      </w:tr>
    </w:tbl>
    <w:p w:rsidR="009609BF" w:rsidRDefault="0066183D">
      <w:pPr>
        <w:tabs>
          <w:tab w:val="left" w:pos="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Fuente:</w:t>
      </w:r>
      <w:r>
        <w:rPr>
          <w:rFonts w:ascii="Times New Roman" w:eastAsia="Times New Roman" w:hAnsi="Times New Roman" w:cs="Times New Roman"/>
          <w:color w:val="000000"/>
          <w:sz w:val="24"/>
          <w:szCs w:val="24"/>
        </w:rPr>
        <w:t xml:space="preserve"> Elaboración propia.</w:t>
      </w:r>
    </w:p>
    <w:p w:rsidR="009609BF" w:rsidRDefault="009609BF">
      <w:pPr>
        <w:spacing w:after="0" w:line="276" w:lineRule="auto"/>
        <w:jc w:val="both"/>
        <w:rPr>
          <w:rFonts w:ascii="Times New Roman" w:eastAsia="Times New Roman" w:hAnsi="Times New Roman" w:cs="Times New Roman"/>
          <w:color w:val="FF0000"/>
          <w:sz w:val="24"/>
          <w:szCs w:val="24"/>
          <w:highlight w:val="yellow"/>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 ponencias señaladas, fueron analizadas por los magistrados de la Corte Superior de Justicia de Ancash, los mismos que se organizaron en cinco grupos, los cuales emitieron sus votos en mérito a los fundamentos que detallo a continuación:  </w:t>
      </w:r>
    </w:p>
    <w:tbl>
      <w:tblPr>
        <w:tblStyle w:val="a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440"/>
        <w:gridCol w:w="7614"/>
      </w:tblGrid>
      <w:tr w:rsidR="009609BF">
        <w:trPr>
          <w:trHeight w:val="1120"/>
        </w:trPr>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b/>
                <w:color w:val="FFFFFF"/>
                <w:sz w:val="16"/>
                <w:szCs w:val="16"/>
                <w:highlight w:val="black"/>
              </w:rPr>
            </w:pPr>
            <w:r>
              <w:rPr>
                <w:rFonts w:ascii="Times New Roman" w:eastAsia="Times New Roman" w:hAnsi="Times New Roman" w:cs="Times New Roman"/>
                <w:b/>
                <w:color w:val="FFFFFF"/>
                <w:sz w:val="16"/>
                <w:szCs w:val="16"/>
                <w:highlight w:val="black"/>
              </w:rPr>
              <w:t>GRUPO N.º 01</w:t>
            </w:r>
          </w:p>
        </w:tc>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color w:val="FFFFFF"/>
                <w:sz w:val="16"/>
                <w:szCs w:val="16"/>
                <w:highlight w:val="black"/>
              </w:rPr>
            </w:pPr>
            <w:r>
              <w:rPr>
                <w:rFonts w:ascii="Times New Roman" w:eastAsia="Times New Roman" w:hAnsi="Times New Roman" w:cs="Times New Roman"/>
                <w:b/>
                <w:color w:val="FFFFFF"/>
                <w:sz w:val="16"/>
                <w:szCs w:val="16"/>
                <w:highlight w:val="black"/>
              </w:rPr>
              <w:t>POR MAYORÍA SIMPLE.</w:t>
            </w:r>
            <w:r>
              <w:rPr>
                <w:rFonts w:ascii="Times New Roman" w:eastAsia="Times New Roman" w:hAnsi="Times New Roman" w:cs="Times New Roman"/>
                <w:color w:val="FFFFFF"/>
                <w:sz w:val="16"/>
                <w:szCs w:val="16"/>
                <w:highlight w:val="black"/>
              </w:rPr>
              <w:t xml:space="preserve"> </w:t>
            </w:r>
          </w:p>
        </w:tc>
        <w:tc>
          <w:tcPr>
            <w:tcW w:w="7614" w:type="dxa"/>
          </w:tcPr>
          <w:p w:rsidR="009609BF" w:rsidRDefault="009609BF">
            <w:pPr>
              <w:spacing w:line="276" w:lineRule="auto"/>
              <w:jc w:val="both"/>
              <w:rPr>
                <w:rFonts w:ascii="Times New Roman" w:eastAsia="Times New Roman" w:hAnsi="Times New Roman" w:cs="Times New Roman"/>
                <w:color w:val="FF0000"/>
                <w:sz w:val="24"/>
                <w:szCs w:val="24"/>
                <w:highlight w:val="yellow"/>
              </w:rPr>
            </w:pP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 bien hay una disposición legal contenida en el numeral 1 del artículo 468° del Código Procesal Penal, que establece que la terminación anticipada debe postularse hasta antes de formularse la acusación fiscal, la misma que ha sido reafirmada en el Acuerdo Plenario N.º 5-2019/CJ-</w:t>
            </w:r>
            <w:proofErr w:type="gramStart"/>
            <w:r>
              <w:rPr>
                <w:rFonts w:ascii="Times New Roman" w:eastAsia="Times New Roman" w:hAnsi="Times New Roman" w:cs="Times New Roman"/>
                <w:color w:val="000000"/>
                <w:sz w:val="16"/>
                <w:szCs w:val="16"/>
              </w:rPr>
              <w:t>116,  lo</w:t>
            </w:r>
            <w:proofErr w:type="gramEnd"/>
            <w:r>
              <w:rPr>
                <w:rFonts w:ascii="Times New Roman" w:eastAsia="Times New Roman" w:hAnsi="Times New Roman" w:cs="Times New Roman"/>
                <w:color w:val="000000"/>
                <w:sz w:val="16"/>
                <w:szCs w:val="16"/>
              </w:rPr>
              <w:t xml:space="preserve"> cierto es que la acusación tiene dos fases para su concretización, así tenemos: la fase escrita y la fase oral. Partiendo de lo antes expuesto, a criterio del grupo con la fase escrita del requerimiento acusatorio aún no se ha </w:t>
            </w:r>
            <w:proofErr w:type="spellStart"/>
            <w:r>
              <w:rPr>
                <w:rFonts w:ascii="Times New Roman" w:eastAsia="Times New Roman" w:hAnsi="Times New Roman" w:cs="Times New Roman"/>
                <w:color w:val="000000"/>
                <w:sz w:val="16"/>
                <w:szCs w:val="16"/>
              </w:rPr>
              <w:t>objetivizado</w:t>
            </w:r>
            <w:proofErr w:type="spellEnd"/>
            <w:r>
              <w:rPr>
                <w:rFonts w:ascii="Times New Roman" w:eastAsia="Times New Roman" w:hAnsi="Times New Roman" w:cs="Times New Roman"/>
                <w:color w:val="000000"/>
                <w:sz w:val="16"/>
                <w:szCs w:val="16"/>
              </w:rPr>
              <w:t xml:space="preserve"> el requerimiento acusatorio que pueda imposibilitar la aplicación de la terminación anticipada, entendiendo que el principio de oralidad es uno de los pilares que rige el sistema procesal penal acusatorio adversarial. Además, debemos considerar que lo que se busca con el proceso especial de Terminación Anticipada, “entre otros” es el descongestionamiento de la carga laboral; en este sentido, no aceptar la terminación anticipada conllevaría a que los órganos jurisdiccionales tengan procesos en trámite cuando las partes procesales han expresado su voluntad de acogerse a la terminación anticipada. Pero, para que se proceda con lo antes señalado, debe garantizarse el derecho de contradicción a la parte agraviada, esto a fin de hacerle saber que existe la posibilidad de concluir el proceso mediante terminación anticipada, cuya audiencia varía el carácter privado siguiendo el procedimiento establecido en el artículo 468° y siguientes del Código Procesal Penal; máxime si se busca con este fin acortar los plazos para los fines del proceso penal; más aún, si se trata de salidas alternativas de carácter consensuado y como máximo exponente de la justicia penal negociada (Terminación anticipada y/o conclusión anticipada).</w:t>
            </w:r>
          </w:p>
          <w:p w:rsidR="009609BF" w:rsidRDefault="009609BF">
            <w:pPr>
              <w:spacing w:line="276" w:lineRule="auto"/>
              <w:jc w:val="both"/>
              <w:rPr>
                <w:rFonts w:ascii="Times New Roman" w:eastAsia="Times New Roman" w:hAnsi="Times New Roman" w:cs="Times New Roman"/>
                <w:color w:val="FF0000"/>
                <w:sz w:val="24"/>
                <w:szCs w:val="24"/>
                <w:highlight w:val="yellow"/>
              </w:rPr>
            </w:pPr>
          </w:p>
        </w:tc>
      </w:tr>
      <w:tr w:rsidR="009609BF">
        <w:trPr>
          <w:trHeight w:val="1120"/>
        </w:trPr>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b/>
                <w:color w:val="FFFFFF"/>
                <w:sz w:val="16"/>
                <w:szCs w:val="16"/>
                <w:highlight w:val="black"/>
              </w:rPr>
            </w:pPr>
            <w:r>
              <w:rPr>
                <w:rFonts w:ascii="Times New Roman" w:eastAsia="Times New Roman" w:hAnsi="Times New Roman" w:cs="Times New Roman"/>
                <w:b/>
                <w:color w:val="FFFFFF"/>
                <w:sz w:val="16"/>
                <w:szCs w:val="16"/>
                <w:highlight w:val="black"/>
              </w:rPr>
              <w:t>GRUPO N.º 02</w:t>
            </w:r>
          </w:p>
        </w:tc>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color w:val="FFFFFF"/>
                <w:sz w:val="16"/>
                <w:szCs w:val="16"/>
                <w:highlight w:val="black"/>
              </w:rPr>
            </w:pPr>
            <w:r>
              <w:rPr>
                <w:rFonts w:ascii="Times New Roman" w:eastAsia="Times New Roman" w:hAnsi="Times New Roman" w:cs="Times New Roman"/>
                <w:b/>
                <w:color w:val="FFFFFF"/>
                <w:sz w:val="16"/>
                <w:szCs w:val="16"/>
                <w:highlight w:val="black"/>
              </w:rPr>
              <w:t xml:space="preserve">POR MAYORÍA. </w:t>
            </w:r>
          </w:p>
        </w:tc>
        <w:tc>
          <w:tcPr>
            <w:tcW w:w="7614" w:type="dxa"/>
          </w:tcPr>
          <w:p w:rsidR="009609BF" w:rsidRDefault="009609BF">
            <w:pPr>
              <w:spacing w:line="276" w:lineRule="auto"/>
              <w:jc w:val="both"/>
              <w:rPr>
                <w:rFonts w:ascii="Times New Roman" w:eastAsia="Times New Roman" w:hAnsi="Times New Roman" w:cs="Times New Roman"/>
                <w:color w:val="FF0000"/>
                <w:sz w:val="24"/>
                <w:szCs w:val="24"/>
                <w:highlight w:val="yellow"/>
              </w:rPr>
            </w:pP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-La terminación anticipada es un proceso especial y de simplificación procesal que se sustenta en el principio de consenso.</w:t>
            </w: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-Importa la aceptación de responsabilidad por parte del imputado respecto del hecho punible objeto del proceso penal y la posibilidad de negociación acerca de las circunstancias del hecho punible, la pena de reparación civil y las consecuencias accesorias, de aplicación en todos los delitos menos en el de lesa humanidad.</w:t>
            </w: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La oportunidad de su incoación, para este grupo en mayoría es hasta antes de la oralización del requerimiento acusatorio, y ello porque consideramos que el principio de oralidad es transversal a todo el sistema procesal. Para arribar a esta conclusión hemos hecho un análisis sistemático de toda la norma, partiendo del artículo séptimo del título preliminar del código procesal penal que impone una interpretación de la norma penal a favor de los procesados.</w:t>
            </w: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-El voto singular por su parte refiere que la incoación de la terminación debe ser hasta antes del requerimiento acusatorio escrito. Porque de lo contrario se tergiversaría o desnaturalizaría la regulación propia y legal y su naturaleza jurídica.</w:t>
            </w:r>
          </w:p>
          <w:p w:rsidR="009609BF" w:rsidRDefault="009609BF">
            <w:pPr>
              <w:spacing w:line="276" w:lineRule="auto"/>
              <w:jc w:val="both"/>
              <w:rPr>
                <w:rFonts w:ascii="Times New Roman" w:eastAsia="Times New Roman" w:hAnsi="Times New Roman" w:cs="Times New Roman"/>
                <w:color w:val="FF0000"/>
                <w:sz w:val="24"/>
                <w:szCs w:val="24"/>
                <w:highlight w:val="yellow"/>
              </w:rPr>
            </w:pPr>
          </w:p>
        </w:tc>
      </w:tr>
      <w:tr w:rsidR="009609BF">
        <w:trPr>
          <w:trHeight w:val="1120"/>
        </w:trPr>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b/>
                <w:color w:val="FFFFFF"/>
                <w:sz w:val="16"/>
                <w:szCs w:val="16"/>
                <w:highlight w:val="black"/>
              </w:rPr>
            </w:pPr>
            <w:r>
              <w:rPr>
                <w:rFonts w:ascii="Times New Roman" w:eastAsia="Times New Roman" w:hAnsi="Times New Roman" w:cs="Times New Roman"/>
                <w:b/>
                <w:color w:val="FFFFFF"/>
                <w:sz w:val="16"/>
                <w:szCs w:val="16"/>
                <w:highlight w:val="black"/>
              </w:rPr>
              <w:lastRenderedPageBreak/>
              <w:t>GRUPO N.º 03</w:t>
            </w:r>
          </w:p>
        </w:tc>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b/>
                <w:color w:val="FFFFFF"/>
                <w:sz w:val="16"/>
                <w:szCs w:val="16"/>
                <w:highlight w:val="black"/>
              </w:rPr>
            </w:pPr>
            <w:r>
              <w:rPr>
                <w:rFonts w:ascii="Times New Roman" w:eastAsia="Times New Roman" w:hAnsi="Times New Roman" w:cs="Times New Roman"/>
                <w:b/>
                <w:color w:val="FFFFFF"/>
                <w:sz w:val="16"/>
                <w:szCs w:val="16"/>
                <w:highlight w:val="black"/>
              </w:rPr>
              <w:t xml:space="preserve">POR UNANIMIDAD </w:t>
            </w:r>
          </w:p>
        </w:tc>
        <w:tc>
          <w:tcPr>
            <w:tcW w:w="7614" w:type="dxa"/>
          </w:tcPr>
          <w:p w:rsidR="009609BF" w:rsidRDefault="009609BF">
            <w:pPr>
              <w:spacing w:line="276" w:lineRule="auto"/>
              <w:jc w:val="both"/>
              <w:rPr>
                <w:rFonts w:ascii="Times New Roman" w:eastAsia="Times New Roman" w:hAnsi="Times New Roman" w:cs="Times New Roman"/>
                <w:color w:val="FF0000"/>
                <w:sz w:val="24"/>
                <w:szCs w:val="24"/>
                <w:highlight w:val="yellow"/>
              </w:rPr>
            </w:pP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Teniendo en cuenta los principios de celeridad y economía procesal, así como el principio de no dejar de administrar justicia por deficiencia de la ley, a que se refiere el artículo 139.8 de la Constitución. </w:t>
            </w:r>
            <w:proofErr w:type="gramStart"/>
            <w:r>
              <w:rPr>
                <w:rFonts w:ascii="Times New Roman" w:eastAsia="Times New Roman" w:hAnsi="Times New Roman" w:cs="Times New Roman"/>
                <w:color w:val="000000"/>
                <w:sz w:val="16"/>
                <w:szCs w:val="16"/>
              </w:rPr>
              <w:t>Además</w:t>
            </w:r>
            <w:proofErr w:type="gramEnd"/>
            <w:r>
              <w:rPr>
                <w:rFonts w:ascii="Times New Roman" w:eastAsia="Times New Roman" w:hAnsi="Times New Roman" w:cs="Times New Roman"/>
                <w:color w:val="000000"/>
                <w:sz w:val="16"/>
                <w:szCs w:val="16"/>
              </w:rPr>
              <w:t xml:space="preserve"> se debe tener en cuenta que el instituto procesal de terminación anticipada tiene como esencia la justicia negociada en observancia a los principios de celeridad y economía procesal, que se puede solicitar en la etapa intermedia del proceso, cuyo espíritu del Código Procesal Penal es solucionar los conflictos penales dentro de la observancia del debido proceso y tutela jurisdiccional.</w:t>
            </w:r>
          </w:p>
          <w:p w:rsidR="009609BF" w:rsidRDefault="009609BF">
            <w:pPr>
              <w:spacing w:line="276" w:lineRule="auto"/>
              <w:jc w:val="both"/>
              <w:rPr>
                <w:rFonts w:ascii="Times New Roman" w:eastAsia="Times New Roman" w:hAnsi="Times New Roman" w:cs="Times New Roman"/>
                <w:color w:val="FF0000"/>
                <w:sz w:val="24"/>
                <w:szCs w:val="24"/>
                <w:highlight w:val="yellow"/>
              </w:rPr>
            </w:pPr>
          </w:p>
        </w:tc>
      </w:tr>
      <w:tr w:rsidR="009609BF">
        <w:trPr>
          <w:trHeight w:val="1120"/>
        </w:trPr>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b/>
                <w:color w:val="FFFFFF"/>
                <w:sz w:val="16"/>
                <w:szCs w:val="16"/>
                <w:highlight w:val="black"/>
              </w:rPr>
            </w:pPr>
            <w:r>
              <w:rPr>
                <w:rFonts w:ascii="Times New Roman" w:eastAsia="Times New Roman" w:hAnsi="Times New Roman" w:cs="Times New Roman"/>
                <w:b/>
                <w:color w:val="FFFFFF"/>
                <w:sz w:val="16"/>
                <w:szCs w:val="16"/>
                <w:highlight w:val="black"/>
              </w:rPr>
              <w:t>GRUPO N.º 04</w:t>
            </w:r>
          </w:p>
        </w:tc>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b/>
                <w:color w:val="FFFFFF"/>
                <w:sz w:val="16"/>
                <w:szCs w:val="16"/>
                <w:highlight w:val="black"/>
              </w:rPr>
            </w:pPr>
            <w:r>
              <w:rPr>
                <w:rFonts w:ascii="Times New Roman" w:eastAsia="Times New Roman" w:hAnsi="Times New Roman" w:cs="Times New Roman"/>
                <w:b/>
                <w:color w:val="FFFFFF"/>
                <w:sz w:val="16"/>
                <w:szCs w:val="16"/>
                <w:highlight w:val="black"/>
              </w:rPr>
              <w:t xml:space="preserve">POR UNANIMIDAD </w:t>
            </w:r>
          </w:p>
        </w:tc>
        <w:tc>
          <w:tcPr>
            <w:tcW w:w="7614" w:type="dxa"/>
          </w:tcPr>
          <w:p w:rsidR="009609BF" w:rsidRDefault="009609BF">
            <w:pPr>
              <w:spacing w:line="276" w:lineRule="auto"/>
              <w:jc w:val="both"/>
              <w:rPr>
                <w:rFonts w:ascii="Times New Roman" w:eastAsia="Times New Roman" w:hAnsi="Times New Roman" w:cs="Times New Roman"/>
                <w:color w:val="FF0000"/>
                <w:sz w:val="20"/>
                <w:szCs w:val="20"/>
                <w:highlight w:val="yellow"/>
              </w:rPr>
            </w:pP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En base a una interpretación sistemática, atendiendo a que el Juez de Investigación Preparatoria es el director del proceso, el requerimiento conjunto de incoación de Proceso Especial de Terminación Anticipada, se encuentra facultado para habilitar el debate en ese extremo, interpretando que la acusación escrita trasladada recién se formula oralmente en la audiencia de su control; motivo por el cual consideramos por unanimidad que los principios de Economía Procesal, Celeridad, Eficacia y Eficiencia, sí es necesario reevaluar la aplicación de la terminación anticipada en la etapa intermedia del Código Procesal Penal.</w:t>
            </w:r>
          </w:p>
          <w:p w:rsidR="009609BF" w:rsidRDefault="009609BF">
            <w:pPr>
              <w:spacing w:line="276" w:lineRule="auto"/>
              <w:jc w:val="both"/>
              <w:rPr>
                <w:rFonts w:ascii="Times New Roman" w:eastAsia="Times New Roman" w:hAnsi="Times New Roman" w:cs="Times New Roman"/>
                <w:color w:val="FF0000"/>
                <w:sz w:val="20"/>
                <w:szCs w:val="20"/>
                <w:highlight w:val="yellow"/>
              </w:rPr>
            </w:pPr>
          </w:p>
        </w:tc>
      </w:tr>
      <w:tr w:rsidR="009609BF">
        <w:trPr>
          <w:trHeight w:val="1120"/>
        </w:trPr>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b/>
                <w:color w:val="FFFFFF"/>
                <w:sz w:val="16"/>
                <w:szCs w:val="16"/>
                <w:highlight w:val="black"/>
              </w:rPr>
            </w:pPr>
            <w:r>
              <w:rPr>
                <w:rFonts w:ascii="Times New Roman" w:eastAsia="Times New Roman" w:hAnsi="Times New Roman" w:cs="Times New Roman"/>
                <w:b/>
                <w:color w:val="FFFFFF"/>
                <w:sz w:val="16"/>
                <w:szCs w:val="16"/>
                <w:highlight w:val="black"/>
              </w:rPr>
              <w:t>GRUPO N.º 05</w:t>
            </w:r>
          </w:p>
        </w:tc>
        <w:tc>
          <w:tcPr>
            <w:tcW w:w="440" w:type="dxa"/>
            <w:shd w:val="clear" w:color="auto" w:fill="000000"/>
          </w:tcPr>
          <w:p w:rsidR="009609BF" w:rsidRDefault="0066183D">
            <w:pPr>
              <w:spacing w:line="276" w:lineRule="auto"/>
              <w:ind w:left="113" w:right="113"/>
              <w:jc w:val="center"/>
              <w:rPr>
                <w:rFonts w:ascii="Times New Roman" w:eastAsia="Times New Roman" w:hAnsi="Times New Roman" w:cs="Times New Roman"/>
                <w:b/>
                <w:color w:val="FFFFFF"/>
                <w:sz w:val="16"/>
                <w:szCs w:val="16"/>
                <w:highlight w:val="black"/>
              </w:rPr>
            </w:pPr>
            <w:r>
              <w:rPr>
                <w:rFonts w:ascii="Times New Roman" w:eastAsia="Times New Roman" w:hAnsi="Times New Roman" w:cs="Times New Roman"/>
                <w:b/>
                <w:color w:val="FFFFFF"/>
                <w:sz w:val="16"/>
                <w:szCs w:val="16"/>
                <w:highlight w:val="black"/>
              </w:rPr>
              <w:t>POR UNANIMIDAD</w:t>
            </w:r>
          </w:p>
        </w:tc>
        <w:tc>
          <w:tcPr>
            <w:tcW w:w="7614" w:type="dxa"/>
          </w:tcPr>
          <w:p w:rsidR="009609BF" w:rsidRDefault="009609BF">
            <w:pPr>
              <w:spacing w:line="276" w:lineRule="auto"/>
              <w:jc w:val="both"/>
              <w:rPr>
                <w:rFonts w:ascii="Times New Roman" w:eastAsia="Times New Roman" w:hAnsi="Times New Roman" w:cs="Times New Roman"/>
                <w:color w:val="FF0000"/>
                <w:sz w:val="44"/>
                <w:szCs w:val="44"/>
                <w:highlight w:val="yellow"/>
              </w:rPr>
            </w:pP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Siempre que no se haya </w:t>
            </w:r>
            <w:proofErr w:type="spellStart"/>
            <w:r>
              <w:rPr>
                <w:rFonts w:ascii="Times New Roman" w:eastAsia="Times New Roman" w:hAnsi="Times New Roman" w:cs="Times New Roman"/>
                <w:color w:val="000000"/>
                <w:sz w:val="16"/>
                <w:szCs w:val="16"/>
              </w:rPr>
              <w:t>oralizado</w:t>
            </w:r>
            <w:proofErr w:type="spellEnd"/>
            <w:r>
              <w:rPr>
                <w:rFonts w:ascii="Times New Roman" w:eastAsia="Times New Roman" w:hAnsi="Times New Roman" w:cs="Times New Roman"/>
                <w:color w:val="000000"/>
                <w:sz w:val="16"/>
                <w:szCs w:val="16"/>
              </w:rPr>
              <w:t xml:space="preserve"> el requerimiento acusatorio podrá admitirse a trámite la terminación anticipada con la finalidad de abreviar el trámite procesal y evitar la carga procesal, teniendo en cuenta los principios de economía, celeridad, eficacia y agilidad en los procesos y deberá reevaluarse el acuerdo plenario número 005-2009.</w:t>
            </w:r>
          </w:p>
          <w:p w:rsidR="009609BF" w:rsidRDefault="009609BF">
            <w:pPr>
              <w:spacing w:line="276" w:lineRule="auto"/>
              <w:jc w:val="both"/>
              <w:rPr>
                <w:rFonts w:ascii="Times New Roman" w:eastAsia="Times New Roman" w:hAnsi="Times New Roman" w:cs="Times New Roman"/>
                <w:color w:val="FF0000"/>
                <w:sz w:val="44"/>
                <w:szCs w:val="44"/>
                <w:highlight w:val="yellow"/>
              </w:rPr>
            </w:pPr>
          </w:p>
        </w:tc>
      </w:tr>
    </w:tbl>
    <w:p w:rsidR="009609BF" w:rsidRDefault="0066183D">
      <w:pPr>
        <w:spacing w:after="0" w:line="276" w:lineRule="auto"/>
        <w:ind w:firstLine="708"/>
        <w:jc w:val="both"/>
        <w:rPr>
          <w:rFonts w:ascii="Times New Roman" w:eastAsia="Times New Roman" w:hAnsi="Times New Roman" w:cs="Times New Roman"/>
          <w:color w:val="FF0000"/>
          <w:sz w:val="2"/>
          <w:szCs w:val="2"/>
          <w:highlight w:val="yellow"/>
        </w:rPr>
      </w:pPr>
      <w:r>
        <w:rPr>
          <w:rFonts w:ascii="Times New Roman" w:eastAsia="Times New Roman" w:hAnsi="Times New Roman" w:cs="Times New Roman"/>
          <w:color w:val="FF0000"/>
          <w:sz w:val="24"/>
          <w:szCs w:val="24"/>
          <w:highlight w:val="yellow"/>
        </w:rPr>
        <w:t xml:space="preserve"> </w:t>
      </w:r>
    </w:p>
    <w:p w:rsidR="009609BF" w:rsidRDefault="0066183D">
      <w:pPr>
        <w:tabs>
          <w:tab w:val="left" w:pos="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Fuente:</w:t>
      </w:r>
      <w:r>
        <w:rPr>
          <w:rFonts w:ascii="Times New Roman" w:eastAsia="Times New Roman" w:hAnsi="Times New Roman" w:cs="Times New Roman"/>
          <w:color w:val="000000"/>
          <w:sz w:val="24"/>
          <w:szCs w:val="24"/>
        </w:rPr>
        <w:t xml:space="preserve"> Elaboración propia.</w:t>
      </w: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Luego de realizado el escrutinio de los votos, se tiene que la primera ponencia obtuvo un voto y la segunda cuatro, no registrándose así ninguna abstención, es por ello </w:t>
      </w:r>
      <w:proofErr w:type="gramStart"/>
      <w:r>
        <w:rPr>
          <w:rFonts w:ascii="Times New Roman" w:eastAsia="Times New Roman" w:hAnsi="Times New Roman" w:cs="Times New Roman"/>
          <w:color w:val="000000"/>
          <w:sz w:val="24"/>
          <w:szCs w:val="24"/>
        </w:rPr>
        <w:t>que  la</w:t>
      </w:r>
      <w:proofErr w:type="gramEnd"/>
      <w:r>
        <w:rPr>
          <w:rFonts w:ascii="Times New Roman" w:eastAsia="Times New Roman" w:hAnsi="Times New Roman" w:cs="Times New Roman"/>
          <w:color w:val="000000"/>
          <w:sz w:val="24"/>
          <w:szCs w:val="24"/>
        </w:rPr>
        <w:t xml:space="preserve"> conclusión plenaria adoptada se sustentó en la segunda ponencia. Ahora bien, conforme se ha evidenciado, los fundamentos esgrimidos por los magistrados de la Corte Superior de Justicia de Ancash, son básicamente, que la A.F. o R.A. tiene una fase escrita y otra oral, siendo la relevante la oral, conforme señalé antes, el Fiscal al formular la A.F. o R.A. por escrito y presentarlo ante el órgano judicial, ya sentó una postura respecto a los hechos que son objeto del proceso y reitero una vez más este escrito no constituye una mera formalidad, sino que por el contrario este delinea los contornos del debate; asimismo los magistrados de la corte de justicia antes aludida, han sostenido que el Principio de Oralidad es determinante en nuestro sistema; sin embargo, </w:t>
      </w:r>
      <w:r>
        <w:rPr>
          <w:rFonts w:ascii="Times New Roman" w:eastAsia="Times New Roman" w:hAnsi="Times New Roman" w:cs="Times New Roman"/>
          <w:color w:val="000000"/>
          <w:sz w:val="24"/>
          <w:szCs w:val="24"/>
        </w:rPr>
        <w:lastRenderedPageBreak/>
        <w:t xml:space="preserve">como mencioné antes, el hacer referencia a la oralidad no convierte nuestro sistema procesal en oral u oral puro, este aunque disguste a muchos es mixto, ya que exige tanto la </w:t>
      </w:r>
      <w:proofErr w:type="spellStart"/>
      <w:r>
        <w:rPr>
          <w:rFonts w:ascii="Times New Roman" w:eastAsia="Times New Roman" w:hAnsi="Times New Roman" w:cs="Times New Roman"/>
          <w:color w:val="000000"/>
          <w:sz w:val="24"/>
          <w:szCs w:val="24"/>
        </w:rPr>
        <w:t>escrituralidad</w:t>
      </w:r>
      <w:proofErr w:type="spellEnd"/>
      <w:r>
        <w:rPr>
          <w:rFonts w:ascii="Times New Roman" w:eastAsia="Times New Roman" w:hAnsi="Times New Roman" w:cs="Times New Roman"/>
          <w:color w:val="000000"/>
          <w:sz w:val="24"/>
          <w:szCs w:val="24"/>
        </w:rPr>
        <w:t xml:space="preserve">, como la oralidad. </w:t>
      </w:r>
    </w:p>
    <w:p w:rsidR="009609BF" w:rsidRDefault="009609BF">
      <w:pPr>
        <w:spacing w:after="0" w:line="276" w:lineRule="auto"/>
        <w:ind w:firstLine="708"/>
        <w:jc w:val="both"/>
        <w:rPr>
          <w:rFonts w:ascii="Times New Roman" w:eastAsia="Times New Roman" w:hAnsi="Times New Roman" w:cs="Times New Roman"/>
          <w:color w:val="FF0000"/>
          <w:sz w:val="24"/>
          <w:szCs w:val="24"/>
          <w:highlight w:val="yellow"/>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Así también, han señalado los magistrados su respeto por el Principio de Celeridad o Economía Procesal, considero que estos han enfocado este de forma errónea, ya que este principio debe de analizarse durante el desarrollo de todo el proceso, de lo contrario se estaría hablando de una celeridad o economía procesal de índole institucional, menciono esto puesto que si ya se transitó por la etapa de Investigación Preparatoria -investigación preliminar e investigación preparatoria propiamente dicha-, la misma que se encontró bajo la dirección del Fiscal, se dio inicio a la E.I, la cual que se encuentra a cargo del órgano judicial, el Fiscal ya emitió su A.F. o R.A., entonces la supuesta celeridad o economía procesal invocada </w:t>
      </w:r>
      <w:r>
        <w:rPr>
          <w:rFonts w:ascii="Times New Roman" w:eastAsia="Times New Roman" w:hAnsi="Times New Roman" w:cs="Times New Roman"/>
          <w:b/>
          <w:color w:val="000000"/>
          <w:sz w:val="24"/>
          <w:szCs w:val="24"/>
        </w:rPr>
        <w:t xml:space="preserve">¿A quién libera de la carga laboral aludida? </w:t>
      </w:r>
      <w:r>
        <w:rPr>
          <w:rFonts w:ascii="Times New Roman" w:eastAsia="Times New Roman" w:hAnsi="Times New Roman" w:cs="Times New Roman"/>
          <w:color w:val="000000"/>
          <w:sz w:val="24"/>
          <w:szCs w:val="24"/>
        </w:rPr>
        <w:t xml:space="preserve">considero que al Poder Judicial, por sobre el Ministerio Público. De forma recurrente se menciona que la etapa más importante del proceso penal es el Juzgamiento -a cargo del órgano judicial-, entiendo que esto se debe a que en gran parte de nuestro país, no hace mucho regía aún el Código de Procedimientos Penales de 1940, el mismo que regulaba un proceso sumario para la mayoría de ilícitos, el cual no permitía la realización del juicio oral; entonces considero válido preguntarme </w:t>
      </w:r>
      <w:r>
        <w:rPr>
          <w:rFonts w:ascii="Times New Roman" w:eastAsia="Times New Roman" w:hAnsi="Times New Roman" w:cs="Times New Roman"/>
          <w:b/>
          <w:color w:val="000000"/>
          <w:sz w:val="24"/>
          <w:szCs w:val="24"/>
        </w:rPr>
        <w:t>¿Será posible llegar a un Juzgamiento, habiendo realizado una investigación defectuosa?</w:t>
      </w:r>
      <w:r>
        <w:rPr>
          <w:rFonts w:ascii="Times New Roman" w:eastAsia="Times New Roman" w:hAnsi="Times New Roman" w:cs="Times New Roman"/>
          <w:color w:val="000000"/>
          <w:sz w:val="24"/>
          <w:szCs w:val="24"/>
        </w:rPr>
        <w:t xml:space="preserve"> La respuesta es negativa, esto no resulta posible, entonces evidencio así que la Investigación Preparatoria, bajo la dirección del Fiscal es más importante de lo que para algunos parece, entonces si se transitó por esta, podríamos hablar de Celeridad o Economía Procesal.</w:t>
      </w:r>
    </w:p>
    <w:p w:rsidR="009609BF" w:rsidRDefault="009609BF">
      <w:pPr>
        <w:spacing w:after="0" w:line="276" w:lineRule="auto"/>
        <w:ind w:firstLine="708"/>
        <w:jc w:val="both"/>
        <w:rPr>
          <w:rFonts w:ascii="Times New Roman" w:eastAsia="Times New Roman" w:hAnsi="Times New Roman" w:cs="Times New Roman"/>
          <w:color w:val="FF0000"/>
          <w:sz w:val="24"/>
          <w:szCs w:val="24"/>
          <w:highlight w:val="yellow"/>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Aunado a lo expresado en los párrafos precedentes, considero que el imputado tuvo el tiempo suficiente durante el desarrollo de la Investigación Preparatoria propiamente dicha, para proponer al Fiscal como director de esta,  la incoación de un proceso especial de T.A., si este no lo hizo, entiendo que ello obedece a que o bien este se consideraba inocente o en su defecto confiaba en que no se lograría </w:t>
      </w:r>
      <w:proofErr w:type="spellStart"/>
      <w:r>
        <w:rPr>
          <w:rFonts w:ascii="Times New Roman" w:eastAsia="Times New Roman" w:hAnsi="Times New Roman" w:cs="Times New Roman"/>
          <w:color w:val="000000"/>
          <w:sz w:val="24"/>
          <w:szCs w:val="24"/>
        </w:rPr>
        <w:t>acreditarar</w:t>
      </w:r>
      <w:proofErr w:type="spellEnd"/>
      <w:r>
        <w:rPr>
          <w:rFonts w:ascii="Times New Roman" w:eastAsia="Times New Roman" w:hAnsi="Times New Roman" w:cs="Times New Roman"/>
          <w:color w:val="000000"/>
          <w:sz w:val="24"/>
          <w:szCs w:val="24"/>
        </w:rPr>
        <w:t xml:space="preserve"> su responsabilidad en los hechos objeto de investigación; si el imputado mantuvo algunas de estas dos posturas a lo largo de esta primera etapa procesal, concluida esta e iniciada la E.I., si el Fiscal ya formuló A.F. o R.A., ya precluyó la oportunidad de incoar una T.A., el Fiscal no puede dejar de lado la postura ya sentada, de hacerlo se estaría soslayando los Principios de Legalidad, Acusatorio y Contradicción, con la única finalidad de beneficiar al imputado por sobre todo con la reducción de un sexto de la pena -de acuerdo a lo estipulado en la T.A.-, el apañar esto, basado en que el N.C.P.P. 2004 se decanta por una justicia penal negociada o consensuada, es algo que considero un error, que no hace más que   </w:t>
      </w:r>
    </w:p>
    <w:p w:rsidR="009609BF" w:rsidRDefault="009609BF">
      <w:pPr>
        <w:spacing w:after="0" w:line="276" w:lineRule="auto"/>
        <w:ind w:firstLine="708"/>
        <w:jc w:val="both"/>
        <w:rPr>
          <w:rFonts w:ascii="Times New Roman" w:eastAsia="Times New Roman" w:hAnsi="Times New Roman" w:cs="Times New Roman"/>
          <w:color w:val="FF0000"/>
          <w:sz w:val="24"/>
          <w:szCs w:val="24"/>
          <w:highlight w:val="yellow"/>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Finalmente, si bien es posible apartarse de la doctrina legal establecida a través de un A.P., considero que en este caso en específico, en el Pleno Jurisdiccional Distrital analizado,  los magistrados de la Corte Superior de Justicia de Ancash, han hecho </w:t>
      </w:r>
      <w:r>
        <w:rPr>
          <w:rFonts w:ascii="Times New Roman" w:eastAsia="Times New Roman" w:hAnsi="Times New Roman" w:cs="Times New Roman"/>
          <w:color w:val="000000"/>
          <w:sz w:val="24"/>
          <w:szCs w:val="24"/>
        </w:rPr>
        <w:lastRenderedPageBreak/>
        <w:t xml:space="preserve">referencia de forma muy vaga o genérica al A.P. N.º 5-2009/CJ-116 “Proceso de Terminación Anticipada: Aspectos Esenciales” de fecha 13 de noviembre de 2009, considero que si lo que estos deseaban era desvincularse, primero debieron de forma detallada identificar los fundamentos de este, para luego desvirtuarlos, puesto que </w:t>
      </w:r>
      <w:proofErr w:type="spellStart"/>
      <w:r>
        <w:rPr>
          <w:rFonts w:ascii="Times New Roman" w:eastAsia="Times New Roman" w:hAnsi="Times New Roman" w:cs="Times New Roman"/>
          <w:color w:val="000000"/>
          <w:sz w:val="24"/>
          <w:szCs w:val="24"/>
        </w:rPr>
        <w:t>sino</w:t>
      </w:r>
      <w:proofErr w:type="spellEnd"/>
      <w:r>
        <w:rPr>
          <w:rFonts w:ascii="Times New Roman" w:eastAsia="Times New Roman" w:hAnsi="Times New Roman" w:cs="Times New Roman"/>
          <w:color w:val="000000"/>
          <w:sz w:val="24"/>
          <w:szCs w:val="24"/>
        </w:rPr>
        <w:t xml:space="preserve"> se proponen buenas y suficientes razones, no se puede dejar lado el razonamiento ya esgrimido en un A.P., que instituye doctrina legal, lo que además se condice con el Derecho a la debida motivación.</w:t>
      </w: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9609BF">
      <w:pPr>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4.4. Pronunciamientos </w:t>
      </w:r>
      <w:proofErr w:type="gramStart"/>
      <w:r>
        <w:rPr>
          <w:rFonts w:ascii="Times New Roman" w:eastAsia="Times New Roman" w:hAnsi="Times New Roman" w:cs="Times New Roman"/>
          <w:b/>
          <w:color w:val="000000"/>
          <w:sz w:val="28"/>
          <w:szCs w:val="28"/>
        </w:rPr>
        <w:t>Judiciales.-</w:t>
      </w:r>
      <w:proofErr w:type="gramEnd"/>
      <w:r>
        <w:rPr>
          <w:rFonts w:ascii="Times New Roman" w:eastAsia="Times New Roman" w:hAnsi="Times New Roman" w:cs="Times New Roman"/>
          <w:b/>
          <w:color w:val="000000"/>
          <w:sz w:val="28"/>
          <w:szCs w:val="28"/>
        </w:rPr>
        <w:t xml:space="preserve">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4.4.a. Corte Superior de Justicia de Huaral y </w:t>
      </w:r>
      <w:proofErr w:type="gramStart"/>
      <w:r>
        <w:rPr>
          <w:rFonts w:ascii="Times New Roman" w:eastAsia="Times New Roman" w:hAnsi="Times New Roman" w:cs="Times New Roman"/>
          <w:b/>
          <w:color w:val="000000"/>
          <w:sz w:val="28"/>
          <w:szCs w:val="28"/>
        </w:rPr>
        <w:t>Huaura.-</w:t>
      </w:r>
      <w:proofErr w:type="gramEnd"/>
      <w:r>
        <w:rPr>
          <w:rFonts w:ascii="Times New Roman" w:eastAsia="Times New Roman" w:hAnsi="Times New Roman" w:cs="Times New Roman"/>
          <w:b/>
          <w:color w:val="000000"/>
          <w:sz w:val="28"/>
          <w:szCs w:val="28"/>
        </w:rPr>
        <w:t xml:space="preserve"> </w:t>
      </w:r>
    </w:p>
    <w:p w:rsidR="009609BF" w:rsidRDefault="009609BF">
      <w:pPr>
        <w:spacing w:after="0" w:line="276" w:lineRule="auto"/>
        <w:jc w:val="both"/>
        <w:rPr>
          <w:rFonts w:ascii="Times New Roman" w:eastAsia="Times New Roman" w:hAnsi="Times New Roman" w:cs="Times New Roman"/>
          <w:b/>
          <w:color w:val="000000"/>
          <w:sz w:val="24"/>
          <w:szCs w:val="24"/>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profesor Reyna Alfaro, acertadamente en su libro denominado La Terminación Anticipada en el Código Procesal Penal, no solo realiza un análisis académico respecto a la posibilidad de incoar este proceso especial durante la E.I., sino que además recopila distintos pronunciamientos de órganos judiciales que han sostenido esto, conforme detallo a continuación: </w:t>
      </w:r>
    </w:p>
    <w:p w:rsidR="009609BF" w:rsidRDefault="009609BF">
      <w:pPr>
        <w:spacing w:after="0" w:line="276" w:lineRule="auto"/>
        <w:ind w:firstLine="567"/>
        <w:jc w:val="both"/>
        <w:rPr>
          <w:rFonts w:ascii="Times New Roman" w:eastAsia="Times New Roman" w:hAnsi="Times New Roman" w:cs="Times New Roman"/>
          <w:color w:val="FF0000"/>
          <w:sz w:val="24"/>
          <w:szCs w:val="24"/>
          <w:highlight w:val="yellow"/>
        </w:rPr>
      </w:pPr>
    </w:p>
    <w:p w:rsidR="009609BF" w:rsidRDefault="0066183D">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resulta claramente incorrecta la tendencia jurisprudencial bastante proliferada y con cierta recepción doctrinal de considerar aplicable la terminación anticipada durante la etapa intermedia, tras la formulación de la acusación fiscal. Esta propuesta interpretativa</w:t>
      </w:r>
      <w:r>
        <w:rPr>
          <w:rFonts w:ascii="Times New Roman" w:eastAsia="Times New Roman" w:hAnsi="Times New Roman" w:cs="Times New Roman"/>
          <w:sz w:val="24"/>
          <w:szCs w:val="24"/>
        </w:rPr>
        <w:t xml:space="preserve"> es posible de observar en decisiones del Primer Juzgado de Investigación de Barranca (resolución del 20 de agosto de 2007,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N.º 474-2007) en opinión de dicho órgano jurisdiccional en tanto el espíritu del nuevo modelo procesal es favorecer los acuerdos entre las propias partes, se entiende que debe ser interpretada a favor de dicha negociación … en el mismo distrito judicial, puede apreciarse la decisión del Juzgado de Investigación Preparatoria de Huara (</w:t>
      </w:r>
      <w:proofErr w:type="spellStart"/>
      <w:r>
        <w:rPr>
          <w:rFonts w:ascii="Times New Roman" w:eastAsia="Times New Roman" w:hAnsi="Times New Roman" w:cs="Times New Roman"/>
          <w:sz w:val="24"/>
          <w:szCs w:val="24"/>
        </w:rPr>
        <w:t>Exp</w:t>
      </w:r>
      <w:proofErr w:type="spellEnd"/>
      <w:r>
        <w:rPr>
          <w:rFonts w:ascii="Times New Roman" w:eastAsia="Times New Roman" w:hAnsi="Times New Roman" w:cs="Times New Roman"/>
          <w:sz w:val="24"/>
          <w:szCs w:val="24"/>
        </w:rPr>
        <w:t xml:space="preserve">. N.º 404-2006) que recurre al principio </w:t>
      </w:r>
      <w:r>
        <w:rPr>
          <w:rFonts w:ascii="Times New Roman" w:eastAsia="Times New Roman" w:hAnsi="Times New Roman" w:cs="Times New Roman"/>
          <w:i/>
          <w:sz w:val="24"/>
          <w:szCs w:val="24"/>
        </w:rPr>
        <w:t xml:space="preserve">favor </w:t>
      </w:r>
      <w:proofErr w:type="spellStart"/>
      <w:r>
        <w:rPr>
          <w:rFonts w:ascii="Times New Roman" w:eastAsia="Times New Roman" w:hAnsi="Times New Roman" w:cs="Times New Roman"/>
          <w:i/>
          <w:sz w:val="24"/>
          <w:szCs w:val="24"/>
        </w:rPr>
        <w:t>rei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para permitir la incoación del proceso de terminación anticipada en la etapa intermedia”. (Reyna Alfaro, 2009, p. 177-178).</w:t>
      </w:r>
    </w:p>
    <w:p w:rsidR="009609BF" w:rsidRDefault="006618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9609BF" w:rsidRDefault="0066183D">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 a realizar algún comentario, considero necesario precisar que los pronunciamientos judiciales citados por el profesor Reyna Alfaro, datan de fechas anteriores a la emisión del  A.P. N.º 5-2009/CJ-116 “Proceso de Terminación Anticipada: Aspectos Esenciales” de fecha 13 de noviembre de 2009; ahora bien, los órganos judiciales han argüido que el espíritu del N.C.P.P. 2004, es favorecer los acuerdos entre las propias partes, es así como estos de decantan por defender la negociación o consenso por sobre la contradicción, discrepo totalmente con esto, si bien el cuerpo normativo antes mencionado propicia en ciertas situaciones y etapas la denominada justicia penal negociada o consensuada, esta no es la regla, sino una excepción, ya que no podemos dejar de lado que el proceso penal por excelencia sea el </w:t>
      </w:r>
      <w:r>
        <w:rPr>
          <w:rFonts w:ascii="Times New Roman" w:eastAsia="Times New Roman" w:hAnsi="Times New Roman" w:cs="Times New Roman"/>
          <w:sz w:val="24"/>
          <w:szCs w:val="24"/>
        </w:rPr>
        <w:lastRenderedPageBreak/>
        <w:t xml:space="preserve">proceso común, es por ello que considero incorrecto el análisis realizado en los fallos aludidos. </w:t>
      </w:r>
    </w:p>
    <w:p w:rsidR="009609BF" w:rsidRDefault="009609BF">
      <w:pPr>
        <w:spacing w:after="0" w:line="276" w:lineRule="auto"/>
        <w:jc w:val="both"/>
        <w:rPr>
          <w:rFonts w:ascii="Times New Roman" w:eastAsia="Times New Roman" w:hAnsi="Times New Roman" w:cs="Times New Roman"/>
          <w:b/>
          <w:sz w:val="24"/>
          <w:szCs w:val="24"/>
        </w:rPr>
      </w:pPr>
    </w:p>
    <w:p w:rsidR="009609BF" w:rsidRDefault="009609BF">
      <w:pPr>
        <w:spacing w:after="0" w:line="276" w:lineRule="auto"/>
        <w:jc w:val="both"/>
        <w:rPr>
          <w:rFonts w:ascii="Times New Roman" w:eastAsia="Times New Roman" w:hAnsi="Times New Roman" w:cs="Times New Roman"/>
          <w:b/>
          <w:sz w:val="24"/>
          <w:szCs w:val="24"/>
        </w:rPr>
      </w:pPr>
    </w:p>
    <w:p w:rsidR="009609BF" w:rsidRDefault="0066183D">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4.4.b. Corte Superior de Justicia de La </w:t>
      </w:r>
      <w:proofErr w:type="gramStart"/>
      <w:r>
        <w:rPr>
          <w:rFonts w:ascii="Times New Roman" w:eastAsia="Times New Roman" w:hAnsi="Times New Roman" w:cs="Times New Roman"/>
          <w:b/>
          <w:sz w:val="28"/>
          <w:szCs w:val="28"/>
        </w:rPr>
        <w:t>Libertad.-</w:t>
      </w:r>
      <w:proofErr w:type="gramEnd"/>
      <w:r>
        <w:rPr>
          <w:rFonts w:ascii="Times New Roman" w:eastAsia="Times New Roman" w:hAnsi="Times New Roman" w:cs="Times New Roman"/>
          <w:b/>
          <w:sz w:val="28"/>
          <w:szCs w:val="28"/>
        </w:rPr>
        <w:t xml:space="preserve"> </w:t>
      </w:r>
    </w:p>
    <w:p w:rsidR="009609BF" w:rsidRDefault="009609BF">
      <w:pPr>
        <w:spacing w:after="0" w:line="276" w:lineRule="auto"/>
        <w:jc w:val="both"/>
        <w:rPr>
          <w:rFonts w:ascii="Times New Roman" w:eastAsia="Times New Roman" w:hAnsi="Times New Roman" w:cs="Times New Roman"/>
          <w:b/>
          <w:sz w:val="28"/>
          <w:szCs w:val="28"/>
        </w:rPr>
      </w:pPr>
    </w:p>
    <w:p w:rsidR="009609BF" w:rsidRDefault="0066183D">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Hace algún tiempo atrás, se difundió a través del portal jurídico académico LP pasión por el Derecho, la Resolución Número Cuatro, de fecha 3 de mayo de 2012, recaída en el Expediente N.º 3356-2011-43, a cargo del Tercer Juzgado de Investigación Preparatoria de Trujillo de la Corte Superior de Justicia de La Libertad, la misma que consistía en la expedición de una Sentencia Condenatoria Anticipada, la que se sustentó entre otros, en los siguientes argumentos:</w:t>
      </w:r>
    </w:p>
    <w:p w:rsidR="009609BF" w:rsidRDefault="009609BF">
      <w:pPr>
        <w:tabs>
          <w:tab w:val="left" w:pos="567"/>
        </w:tabs>
        <w:spacing w:after="0" w:line="276" w:lineRule="auto"/>
        <w:jc w:val="both"/>
        <w:rPr>
          <w:rFonts w:ascii="Times New Roman" w:eastAsia="Times New Roman" w:hAnsi="Times New Roman" w:cs="Times New Roman"/>
          <w:sz w:val="24"/>
          <w:szCs w:val="24"/>
        </w:rPr>
      </w:pPr>
    </w:p>
    <w:p w:rsidR="009609BF" w:rsidRDefault="0066183D">
      <w:pPr>
        <w:tabs>
          <w:tab w:val="left" w:pos="567"/>
        </w:tabs>
        <w:spacing w:after="0" w:line="276"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Formulación (escrita y oral) del requerimiento de acusación.</w:t>
      </w:r>
    </w:p>
    <w:p w:rsidR="009609BF" w:rsidRDefault="009609BF">
      <w:pPr>
        <w:tabs>
          <w:tab w:val="left" w:pos="567"/>
        </w:tabs>
        <w:spacing w:after="0" w:line="276" w:lineRule="auto"/>
        <w:ind w:left="567"/>
        <w:jc w:val="both"/>
        <w:rPr>
          <w:rFonts w:ascii="Times New Roman" w:eastAsia="Times New Roman" w:hAnsi="Times New Roman" w:cs="Times New Roman"/>
          <w:sz w:val="8"/>
          <w:szCs w:val="8"/>
        </w:rPr>
      </w:pPr>
    </w:p>
    <w:p w:rsidR="009609BF" w:rsidRDefault="0066183D">
      <w:pPr>
        <w:pBdr>
          <w:top w:val="nil"/>
          <w:left w:val="nil"/>
          <w:bottom w:val="nil"/>
          <w:right w:val="nil"/>
          <w:between w:val="nil"/>
        </w:pBdr>
        <w:tabs>
          <w:tab w:val="left" w:pos="1134"/>
        </w:tabs>
        <w:spacing w:after="0" w:line="276" w:lineRule="auto"/>
        <w:ind w:left="1134"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color w:val="000000"/>
          <w:sz w:val="24"/>
          <w:szCs w:val="24"/>
        </w:rPr>
        <w:tab/>
        <w:t xml:space="preserve">El artículo 468.1° del CPP respecto al momento en que las partes pueden proponerle al juez una terminación anticipada del proceso, establece la siguiente limitación: “una vez expedida la disposición fiscal de formalización de investigación preparatoria y hasta antes de formularse acusación”. </w:t>
      </w:r>
      <w:r>
        <w:rPr>
          <w:rFonts w:ascii="Times New Roman" w:eastAsia="Times New Roman" w:hAnsi="Times New Roman" w:cs="Times New Roman"/>
          <w:b/>
          <w:color w:val="000000"/>
          <w:sz w:val="24"/>
          <w:szCs w:val="24"/>
        </w:rPr>
        <w:t>Una interpretación meramente literal podría conducirnos hacía una barrera legal infranqueable en la proposición de una terminación anticipada en la etapa intermedia;</w:t>
      </w:r>
      <w:r>
        <w:rPr>
          <w:rFonts w:ascii="Times New Roman" w:eastAsia="Times New Roman" w:hAnsi="Times New Roman" w:cs="Times New Roman"/>
          <w:color w:val="000000"/>
          <w:sz w:val="24"/>
          <w:szCs w:val="24"/>
        </w:rPr>
        <w:t xml:space="preserve"> empero, una interpretación sistemática con los artículos 349.1° y 351.3° del CPP, permite comprender el significado específico del verbo “formular” en el contexto del actual proceso penal común. Así, “formular” en su acepción usual significación expresar una cosa con palabras o por escrito, </w:t>
      </w:r>
      <w:r>
        <w:rPr>
          <w:rFonts w:ascii="Times New Roman" w:eastAsia="Times New Roman" w:hAnsi="Times New Roman" w:cs="Times New Roman"/>
          <w:i/>
          <w:color w:val="000000"/>
          <w:sz w:val="24"/>
          <w:szCs w:val="24"/>
        </w:rPr>
        <w:t xml:space="preserve">mutatis </w:t>
      </w:r>
      <w:proofErr w:type="spellStart"/>
      <w:r>
        <w:rPr>
          <w:rFonts w:ascii="Times New Roman" w:eastAsia="Times New Roman" w:hAnsi="Times New Roman" w:cs="Times New Roman"/>
          <w:i/>
          <w:color w:val="000000"/>
          <w:sz w:val="24"/>
          <w:szCs w:val="24"/>
        </w:rPr>
        <w:t>mutandi</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la formulación de la acusación también participa de esta dualidad comunicativa.</w:t>
      </w:r>
      <w:r>
        <w:rPr>
          <w:rFonts w:ascii="Times New Roman" w:eastAsia="Times New Roman" w:hAnsi="Times New Roman" w:cs="Times New Roman"/>
          <w:color w:val="000000"/>
          <w:sz w:val="24"/>
          <w:szCs w:val="24"/>
        </w:rPr>
        <w:t xml:space="preserve"> Así, en un primer momento, </w:t>
      </w:r>
      <w:r>
        <w:rPr>
          <w:rFonts w:ascii="Times New Roman" w:eastAsia="Times New Roman" w:hAnsi="Times New Roman" w:cs="Times New Roman"/>
          <w:b/>
          <w:color w:val="000000"/>
          <w:sz w:val="24"/>
          <w:szCs w:val="24"/>
        </w:rPr>
        <w:t>el fiscal debe expresar por escrito su pretensión penal, bajo la forma del requerimiento de acusación con todos los requisitos previstos en el artículo 349.1° del CPP. En un segundo momento, fiscal debe expresar con palabras su requerimiento escrito de acusación en la audiencia preliminar como lo exige el artículo 351.3° del CPP. La omisión en la formulación oral de acusación escrita por el fiscal en la audiencia preliminar impedirá su respectivo control (Formal o sustancial) e imposibilitaría la entrada al juicio.</w:t>
      </w:r>
      <w:r>
        <w:rPr>
          <w:rFonts w:ascii="Times New Roman" w:eastAsia="Times New Roman" w:hAnsi="Times New Roman" w:cs="Times New Roman"/>
          <w:color w:val="000000"/>
          <w:sz w:val="24"/>
          <w:szCs w:val="24"/>
        </w:rPr>
        <w:t xml:space="preserve"> De ahí que la Corte Suprema en el Acuerdo Plenario N.º 6-2009/CJ-116 de fecha trece de noviembre de dos mil nueve, ha precisado que el procedimiento de </w:t>
      </w:r>
      <w:r>
        <w:rPr>
          <w:rFonts w:ascii="Times New Roman" w:eastAsia="Times New Roman" w:hAnsi="Times New Roman" w:cs="Times New Roman"/>
          <w:b/>
          <w:color w:val="000000"/>
          <w:sz w:val="24"/>
          <w:szCs w:val="24"/>
        </w:rPr>
        <w:t xml:space="preserve">la etapa intermedia consta de dos fases: oral y escrita. Las distintas posibilidades que tiene el Juez de la Investigación Preparatoria frente a la acusación fiscal, según los artículos 350°/352° CPP, puede concretarse luego del trámite de traslado a las demás partes – nunca antes- (fase escrita) y de realización de la audiencia preliminar (fase oral, que plasma la vigencia calificada de los principios </w:t>
      </w:r>
      <w:r>
        <w:rPr>
          <w:rFonts w:ascii="Times New Roman" w:eastAsia="Times New Roman" w:hAnsi="Times New Roman" w:cs="Times New Roman"/>
          <w:b/>
          <w:color w:val="000000"/>
          <w:sz w:val="24"/>
          <w:szCs w:val="24"/>
        </w:rPr>
        <w:lastRenderedPageBreak/>
        <w:t>de oralidad y concentración). El Juez decide luego de escuchar a todas las partes procesales, nunca antes.</w:t>
      </w:r>
    </w:p>
    <w:p w:rsidR="009609BF" w:rsidRDefault="0066183D">
      <w:pPr>
        <w:pBdr>
          <w:top w:val="nil"/>
          <w:left w:val="nil"/>
          <w:bottom w:val="nil"/>
          <w:right w:val="nil"/>
          <w:between w:val="nil"/>
        </w:pBdr>
        <w:tabs>
          <w:tab w:val="left" w:pos="1134"/>
        </w:tabs>
        <w:spacing w:after="0" w:line="276" w:lineRule="auto"/>
        <w:ind w:left="1134" w:hanging="567"/>
        <w:jc w:val="both"/>
        <w:rPr>
          <w:rFonts w:ascii="Times New Roman" w:eastAsia="Times New Roman" w:hAnsi="Times New Roman" w:cs="Times New Roman"/>
          <w:color w:val="000000"/>
          <w:sz w:val="8"/>
          <w:szCs w:val="8"/>
        </w:rPr>
      </w:pPr>
      <w:r>
        <w:rPr>
          <w:rFonts w:ascii="Times New Roman" w:eastAsia="Times New Roman" w:hAnsi="Times New Roman" w:cs="Times New Roman"/>
          <w:color w:val="000000"/>
          <w:sz w:val="24"/>
          <w:szCs w:val="24"/>
        </w:rPr>
        <w:t xml:space="preserve"> </w:t>
      </w:r>
    </w:p>
    <w:p w:rsidR="009609BF" w:rsidRDefault="0066183D">
      <w:pPr>
        <w:pBdr>
          <w:top w:val="nil"/>
          <w:left w:val="nil"/>
          <w:bottom w:val="nil"/>
          <w:right w:val="nil"/>
          <w:between w:val="nil"/>
        </w:pBdr>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No existe ningún obstáculo legal para que los sujetos procesales puedan incoar el proceso especial de terminación anticipada, por el periodo comprendido entre la expedición de la disposición de formalización de investigación preparatoria hasta la formulación (escrita y oral) del requerimiento de acusación en la audiencia preliminar,</w:t>
      </w:r>
      <w:r>
        <w:rPr>
          <w:rFonts w:ascii="Times New Roman" w:eastAsia="Times New Roman" w:hAnsi="Times New Roman" w:cs="Times New Roman"/>
          <w:color w:val="000000"/>
          <w:sz w:val="24"/>
          <w:szCs w:val="24"/>
        </w:rPr>
        <w:t xml:space="preserve"> como lo prevé el artículo 468.1° del CPP. </w:t>
      </w:r>
      <w:r>
        <w:rPr>
          <w:rFonts w:ascii="Times New Roman" w:eastAsia="Times New Roman" w:hAnsi="Times New Roman" w:cs="Times New Roman"/>
          <w:b/>
          <w:color w:val="000000"/>
          <w:sz w:val="24"/>
          <w:szCs w:val="24"/>
        </w:rPr>
        <w:t>Los requerimientos -entre ellos el de acusación- en términos generales constituyen sólo pedidos que le fiscal dirige al juez instando un pronunciamiento sobre un determinado acto procesal, como así se entiende del artículo 122.4° del CPP. No es la formulación escrita del requerimiento de acusación, lo que hace precluir la posibilidad de incoar la terminación anticipada, sino en rigor, cuando el fiscal formula oralmente aquella acusación escrita en la audiencia preliminar, promoviéndose el debate y la expedición de diversas decisiones judiciales sobre el control de la acusación a efectos de la realización de un juicio saneado</w:t>
      </w:r>
      <w:r>
        <w:rPr>
          <w:rFonts w:ascii="Times New Roman" w:eastAsia="Times New Roman" w:hAnsi="Times New Roman" w:cs="Times New Roman"/>
          <w:color w:val="000000"/>
          <w:sz w:val="24"/>
          <w:szCs w:val="24"/>
        </w:rPr>
        <w:t xml:space="preserve">. En otras palabras, desde la formalización de investigación preparatoria y hasta la instalación e inicio de la audiencia preliminar de acusación, las partes podrían instar por última vez una terminación anticipada, pues en estricto, el fiscal no habría formulado completamente la acusación en su fase oral, operando en la práctica que el debate originario de control de acusación sea sustituido por el debate de acuerdo de terminación anticipada. Este nuevo escenario discursivo (de acusación a terminación anticipada), generaría a su vez dos alternativas excluyentes: si el juez aprueba el acuerdo de terminación anticipada, el proceso concluiría con la expedición de una sentencia condenatoria, deviniendo en innecesario de la acusación por sustracción de la material; por el contrario, si el juez desaprueba el acuerdo de terminación anticipada, el proceso continuaría, deviniendo en obligatorio el debate sobre el control formal y sustancial de la acusación de cara a su transición a la etapa final del juicio, en cuyo caso, las partes todavía tendrían habilitado el procedimiento consensual de la conclusión anticipada reconocida en el artículo 372.2° del CPP, desarrollada en extenso en el Acuerdo Plenario N.º 5-2008/CJ-116 de fecha dieciocho de julio de dos mil ocho. </w:t>
      </w:r>
    </w:p>
    <w:p w:rsidR="009609BF" w:rsidRDefault="009609BF">
      <w:pPr>
        <w:pBdr>
          <w:top w:val="nil"/>
          <w:left w:val="nil"/>
          <w:bottom w:val="nil"/>
          <w:right w:val="nil"/>
          <w:between w:val="nil"/>
        </w:pBdr>
        <w:tabs>
          <w:tab w:val="left" w:pos="567"/>
        </w:tabs>
        <w:spacing w:after="0" w:line="276" w:lineRule="auto"/>
        <w:ind w:left="567" w:hanging="720"/>
        <w:jc w:val="both"/>
        <w:rPr>
          <w:rFonts w:ascii="Times New Roman" w:eastAsia="Times New Roman" w:hAnsi="Times New Roman" w:cs="Times New Roman"/>
          <w:color w:val="000000"/>
          <w:sz w:val="8"/>
          <w:szCs w:val="8"/>
        </w:rPr>
      </w:pPr>
    </w:p>
    <w:p w:rsidR="009609BF" w:rsidRDefault="0066183D">
      <w:pPr>
        <w:pBdr>
          <w:top w:val="nil"/>
          <w:left w:val="nil"/>
          <w:bottom w:val="nil"/>
          <w:right w:val="nil"/>
          <w:between w:val="nil"/>
        </w:pBdr>
        <w:tabs>
          <w:tab w:val="left" w:pos="1134"/>
        </w:tabs>
        <w:spacing w:after="0" w:line="276" w:lineRule="auto"/>
        <w:ind w:left="1134"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color w:val="000000"/>
          <w:sz w:val="24"/>
          <w:szCs w:val="24"/>
        </w:rPr>
        <w:tab/>
        <w:t xml:space="preserve">La Corte Suprema de Justicia en el Acuerdo Plenario 5-2009/CJ-116, ha manifestado categóricamente su disconformidad con la incoación de la terminación anticipada en la etapa intermedia, con el argumento que “la terminación anticipada es un proceso especial sujeto a su propias reglas de iniciación y con una estructura singular – etapas propias y actuaciones singulares no equiparables con el proceso común, basado en el principio estructural de contradicción  no en el consenso que informa al primero – (…), la audiencia especial y privada está sometida a determinadas pautas y </w:t>
      </w:r>
      <w:r>
        <w:rPr>
          <w:rFonts w:ascii="Times New Roman" w:eastAsia="Times New Roman" w:hAnsi="Times New Roman" w:cs="Times New Roman"/>
          <w:color w:val="000000"/>
          <w:sz w:val="24"/>
          <w:szCs w:val="24"/>
        </w:rPr>
        <w:lastRenderedPageBreak/>
        <w:t xml:space="preserve">ritos, muy distintos a los que rigen la audiencia de control de acusación, acto de postulación que, a mayor abundamiento, no existe en la terminación anticipada”. Esta afirmación tan evidente, consistente en que </w:t>
      </w:r>
      <w:r>
        <w:rPr>
          <w:rFonts w:ascii="Times New Roman" w:eastAsia="Times New Roman" w:hAnsi="Times New Roman" w:cs="Times New Roman"/>
          <w:b/>
          <w:color w:val="000000"/>
          <w:sz w:val="24"/>
          <w:szCs w:val="24"/>
        </w:rPr>
        <w:t xml:space="preserve">el trámite de la audiencia de terminación anticipada es diferente al de una audiencia preliminar, no implica per se la exclusión de la celebración de la primera en la segunda, sino simplemente que a partir de su reconocimiento como distintos en su procedimiento, se proceda al debate por separado de ambas pretensiones, comenzando primero con la terminación anticipada basado en el consenso, para continuar ante la inviabilidad del mismo, con el control formal y sustancial de la acusación basado en la contradicción. Esto es tan sencillo de entender que en la práctica simplemente implica cerrar la puerta de la sala de audiencias por el carácter reservado de la terminación anticipada, o, del auto desaprobatorio que inmediatamente de lugar al control de acusación. </w:t>
      </w:r>
    </w:p>
    <w:p w:rsidR="009609BF" w:rsidRDefault="009609BF">
      <w:pPr>
        <w:tabs>
          <w:tab w:val="left" w:pos="567"/>
        </w:tabs>
        <w:spacing w:after="0" w:line="276" w:lineRule="auto"/>
        <w:jc w:val="both"/>
        <w:rPr>
          <w:rFonts w:ascii="Times New Roman" w:eastAsia="Times New Roman" w:hAnsi="Times New Roman" w:cs="Times New Roman"/>
          <w:b/>
          <w:sz w:val="28"/>
          <w:szCs w:val="28"/>
        </w:rPr>
      </w:pPr>
    </w:p>
    <w:p w:rsidR="009609BF" w:rsidRDefault="0066183D">
      <w:pPr>
        <w:tabs>
          <w:tab w:val="left" w:pos="567"/>
        </w:tabs>
        <w:spacing w:after="0" w:line="276"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Terminación anticipada esta creada para evitar juicios innecesarios.</w:t>
      </w:r>
    </w:p>
    <w:p w:rsidR="009609BF" w:rsidRDefault="009609BF">
      <w:pPr>
        <w:tabs>
          <w:tab w:val="left" w:pos="567"/>
        </w:tabs>
        <w:spacing w:after="0" w:line="276" w:lineRule="auto"/>
        <w:ind w:left="567"/>
        <w:jc w:val="both"/>
        <w:rPr>
          <w:rFonts w:ascii="Times New Roman" w:eastAsia="Times New Roman" w:hAnsi="Times New Roman" w:cs="Times New Roman"/>
          <w:b/>
          <w:sz w:val="24"/>
          <w:szCs w:val="24"/>
        </w:rPr>
      </w:pPr>
    </w:p>
    <w:p w:rsidR="009609BF" w:rsidRDefault="0066183D">
      <w:pPr>
        <w:pBdr>
          <w:top w:val="nil"/>
          <w:left w:val="nil"/>
          <w:bottom w:val="nil"/>
          <w:right w:val="nil"/>
          <w:between w:val="nil"/>
        </w:pBdr>
        <w:tabs>
          <w:tab w:val="left" w:pos="1134"/>
        </w:tabs>
        <w:spacing w:after="0" w:line="276"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1.9.</w:t>
      </w:r>
      <w:r>
        <w:rPr>
          <w:rFonts w:ascii="Times New Roman" w:eastAsia="Times New Roman" w:hAnsi="Times New Roman" w:cs="Times New Roman"/>
          <w:color w:val="000000"/>
          <w:sz w:val="24"/>
          <w:szCs w:val="24"/>
        </w:rPr>
        <w:tab/>
        <w:t xml:space="preserve">El Acuerdo Plenario N.º 5-2009/CJ-116 establece que la terminación anticipada tiene </w:t>
      </w:r>
      <w:r>
        <w:rPr>
          <w:rFonts w:ascii="Times New Roman" w:eastAsia="Times New Roman" w:hAnsi="Times New Roman" w:cs="Times New Roman"/>
          <w:b/>
          <w:color w:val="000000"/>
          <w:sz w:val="24"/>
          <w:szCs w:val="24"/>
        </w:rPr>
        <w:t>“la función de acortar los tiempos procesales y evitar las etapas procesales comunes intermedia y de enjuiciamiento”.</w:t>
      </w:r>
      <w:r>
        <w:rPr>
          <w:rFonts w:ascii="Times New Roman" w:eastAsia="Times New Roman" w:hAnsi="Times New Roman" w:cs="Times New Roman"/>
          <w:color w:val="000000"/>
          <w:sz w:val="24"/>
          <w:szCs w:val="24"/>
        </w:rPr>
        <w:t xml:space="preserve"> Como se anotó líneas atrás, la propia Corte Suprema ha reconocido como fuente de inspiración normativa directa de nuestro CPP al Código Procesal Penal Modelo para Iberoamérica, </w:t>
      </w:r>
      <w:r>
        <w:rPr>
          <w:rFonts w:ascii="Times New Roman" w:eastAsia="Times New Roman" w:hAnsi="Times New Roman" w:cs="Times New Roman"/>
          <w:b/>
          <w:color w:val="000000"/>
          <w:sz w:val="24"/>
          <w:szCs w:val="24"/>
        </w:rPr>
        <w:t xml:space="preserve">el mismo que curiosamente sí permite la terminación del proceso previo acuerdo de la parte acusadora y acusada en la etapa intermedia, así en los artículos 371° al 373° reconoce la posibilidad que el Ministerio Público pueda requerir la instauración del procedimiento abreviado (para nosotros terminación anticipada) ante el tribunal del procedimiento intermedio (para nosotros etapa intermedia), </w:t>
      </w:r>
      <w:r>
        <w:rPr>
          <w:rFonts w:ascii="Times New Roman" w:eastAsia="Times New Roman" w:hAnsi="Times New Roman" w:cs="Times New Roman"/>
          <w:color w:val="000000"/>
          <w:sz w:val="24"/>
          <w:szCs w:val="24"/>
        </w:rPr>
        <w:t xml:space="preserve">previa admisión por el imputado del hecho descrito en la acusación y su participación en él y a la vía propuesta, pudiendo el tribunal condenar fundando su resolución en el hecho descrito en la acusación, admitido por el imputado, pero la condena nunca podrá superar la pena requerida por el Ministerio Público. Si el tribunal no admitiera la vía solicitada se estará al procedimiento común. De otro lado, el Código Procesal Penal Chileno que también tiene semejanza sustancial con la estructura del proceso y con diversas instituciones de nuestra norma procesal nacional, prevé expresamente en el artículo 406°, que en la audiencia de preparación de juicio oral pueda aplicarse el procedimiento abreviado (para nosotros terminación anticipada), siempre que el imputado acepte los hechos materia de acusación y manifieste su conformidad con la aplicación de este procedimiento, incluso el artículo 407° permite que la </w:t>
      </w:r>
      <w:r>
        <w:rPr>
          <w:rFonts w:ascii="Times New Roman" w:eastAsia="Times New Roman" w:hAnsi="Times New Roman" w:cs="Times New Roman"/>
          <w:color w:val="000000"/>
          <w:sz w:val="24"/>
          <w:szCs w:val="24"/>
        </w:rPr>
        <w:lastRenderedPageBreak/>
        <w:t xml:space="preserve">solicitud pueda ser planteada por escrito dentro del plazo de traslado de la acusación o verbalmente en la misma audiencia de preparación de juicio. (Tercer Juzgado de Investigación Preparatoria de Trujillo – Corte Superior de Justicia de La Libertad, Expediente 3356-2011-43, 2012). </w:t>
      </w:r>
    </w:p>
    <w:p w:rsidR="009609BF" w:rsidRDefault="009609BF">
      <w:pPr>
        <w:tabs>
          <w:tab w:val="left" w:pos="567"/>
        </w:tabs>
        <w:spacing w:after="0" w:line="276" w:lineRule="auto"/>
        <w:ind w:left="567"/>
        <w:jc w:val="both"/>
        <w:rPr>
          <w:rFonts w:ascii="Times New Roman" w:eastAsia="Times New Roman" w:hAnsi="Times New Roman" w:cs="Times New Roman"/>
          <w:b/>
          <w:color w:val="000000"/>
          <w:sz w:val="24"/>
          <w:szCs w:val="24"/>
        </w:rPr>
      </w:pPr>
    </w:p>
    <w:p w:rsidR="009609BF" w:rsidRDefault="0066183D">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Como he señalado en los párrafos precedentes considero que la formulación de la A.F. o R.A., a la que se refiere el N.C.P.P. 2004, es la presentación del escrito que la contiene, el cual deberá de cumplir con las exigencias establecidas en el </w:t>
      </w:r>
      <w:r>
        <w:rPr>
          <w:rFonts w:ascii="Times New Roman" w:eastAsia="Times New Roman" w:hAnsi="Times New Roman" w:cs="Times New Roman"/>
          <w:b/>
          <w:sz w:val="24"/>
          <w:szCs w:val="24"/>
        </w:rPr>
        <w:t>artículo 349</w:t>
      </w:r>
      <w:r>
        <w:rPr>
          <w:rFonts w:ascii="Times New Roman" w:eastAsia="Times New Roman" w:hAnsi="Times New Roman" w:cs="Times New Roman"/>
          <w:sz w:val="24"/>
          <w:szCs w:val="24"/>
        </w:rPr>
        <w:t xml:space="preserve"> del cuerpo legal antes mencionado; asimismo considero que es un error de interpretación lo señalado por el órgano judicial respecto a la distinción de formular A.F. o R.A. por escrito y de forma oral, esto podría llevarnos a pensar que son independientes, esto no es así como lo señalé antes, la importancia del escrito de A.F. o R.A., es que a través de esta el </w:t>
      </w:r>
    </w:p>
    <w:p w:rsidR="009609BF" w:rsidRDefault="0066183D">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Fiscal hace conocer a los demás sujetos procesales su postura frente a los hechos objeto del proceso y deja de lado el principio de objetividad bajo el cual dirigió la investigación preparatoria, para convertirse en parte, por ello sostengo que en la audiencia de control de acusación lo que se hará es </w:t>
      </w:r>
      <w:proofErr w:type="spellStart"/>
      <w:r>
        <w:rPr>
          <w:rFonts w:ascii="Times New Roman" w:eastAsia="Times New Roman" w:hAnsi="Times New Roman" w:cs="Times New Roman"/>
          <w:sz w:val="24"/>
          <w:szCs w:val="24"/>
        </w:rPr>
        <w:t>oralizar</w:t>
      </w:r>
      <w:proofErr w:type="spellEnd"/>
      <w:r>
        <w:rPr>
          <w:rFonts w:ascii="Times New Roman" w:eastAsia="Times New Roman" w:hAnsi="Times New Roman" w:cs="Times New Roman"/>
          <w:sz w:val="24"/>
          <w:szCs w:val="24"/>
        </w:rPr>
        <w:t xml:space="preserve"> lo que ya se plasmó por escrito y no formular nuevamente o de forma independiente. Además, como manifesté antes, desde la incorporación de la justicia penal negociada o consensuada en nuestro país en 1994, hasta la fecha, siempre se limitó su incoación a la etapa de investigación o instrucción, incluso el C.P.P.M.I. 1989, al que se reconoce como fuente inspiradora del N.C.P.P. 2004, lo reguló así.  </w:t>
      </w:r>
    </w:p>
    <w:p w:rsidR="009609BF" w:rsidRDefault="009609BF">
      <w:pPr>
        <w:tabs>
          <w:tab w:val="left" w:pos="567"/>
        </w:tabs>
        <w:spacing w:after="0" w:line="276" w:lineRule="auto"/>
        <w:jc w:val="both"/>
        <w:rPr>
          <w:rFonts w:ascii="Times New Roman" w:eastAsia="Times New Roman" w:hAnsi="Times New Roman" w:cs="Times New Roman"/>
          <w:sz w:val="24"/>
          <w:szCs w:val="24"/>
        </w:rPr>
      </w:pPr>
    </w:p>
    <w:p w:rsidR="009609BF" w:rsidRDefault="0066183D">
      <w:pPr>
        <w:tabs>
          <w:tab w:val="left" w:pos="567"/>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t xml:space="preserve">Respecto a la interpretación realizada por el órgano judicial sobre el </w:t>
      </w:r>
      <w:r>
        <w:rPr>
          <w:rFonts w:ascii="Times New Roman" w:eastAsia="Times New Roman" w:hAnsi="Times New Roman" w:cs="Times New Roman"/>
          <w:color w:val="000000"/>
          <w:sz w:val="24"/>
          <w:szCs w:val="24"/>
        </w:rPr>
        <w:t xml:space="preserve">C.P.P.M.I. 1989, en específico a lo señalado sobre el procedimiento abreviado, ya en el punto 4.1.a.- realicé una interpretación amplía, de la que se evidenciará que el órgano judicial cometió un error; y respecto a lo expresado sobre el sistema procesal penal de Chile, esta regulación es distinta a la nuestra y esto se debe a que el  C.P.P.M.I. 1989 proporcionó a los países de la región pautas generales, para que estas sean adaptadas de acuerdo a las necesidades de cada Estado, es por ello que el vecino país optó por regular e forma expresa el procedimiento penal abreviado e incluso este regula en el artículo 407 de su código adjetivo, lo siguiente: </w:t>
      </w:r>
    </w:p>
    <w:p w:rsidR="009609BF" w:rsidRDefault="009609BF">
      <w:pPr>
        <w:tabs>
          <w:tab w:val="left" w:pos="567"/>
        </w:tabs>
        <w:spacing w:after="0" w:line="276" w:lineRule="auto"/>
        <w:jc w:val="both"/>
        <w:rPr>
          <w:rFonts w:ascii="Times New Roman" w:eastAsia="Times New Roman" w:hAnsi="Times New Roman" w:cs="Times New Roman"/>
          <w:color w:val="000000"/>
          <w:sz w:val="24"/>
          <w:szCs w:val="24"/>
        </w:rPr>
      </w:pPr>
    </w:p>
    <w:p w:rsidR="009609BF" w:rsidRDefault="0066183D">
      <w:pPr>
        <w:shd w:val="clear" w:color="auto" w:fill="FFFFFF"/>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407.-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Oportunidad para solicitar el procedimiento </w:t>
      </w:r>
      <w:proofErr w:type="gramStart"/>
      <w:r>
        <w:rPr>
          <w:rFonts w:ascii="Times New Roman" w:eastAsia="Times New Roman" w:hAnsi="Times New Roman" w:cs="Times New Roman"/>
          <w:b/>
          <w:sz w:val="24"/>
          <w:szCs w:val="24"/>
        </w:rPr>
        <w:t>abreviado.</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Una vez formalizada la investigación, la tramitación de la causa conforme a las reglas del </w:t>
      </w:r>
      <w:r>
        <w:rPr>
          <w:rFonts w:ascii="Times New Roman" w:eastAsia="Times New Roman" w:hAnsi="Times New Roman" w:cs="Times New Roman"/>
          <w:b/>
          <w:sz w:val="24"/>
          <w:szCs w:val="24"/>
        </w:rPr>
        <w:t>procedimiento abreviado podrá ser acordada en cualquier etapa del procedimiento, hasta la audiencia de preparación del juicio oral.</w:t>
      </w:r>
    </w:p>
    <w:p w:rsidR="009609BF" w:rsidRDefault="009609BF">
      <w:pPr>
        <w:shd w:val="clear" w:color="auto" w:fill="FFFFFF"/>
        <w:spacing w:after="0" w:line="276" w:lineRule="auto"/>
        <w:ind w:left="567"/>
        <w:jc w:val="both"/>
        <w:rPr>
          <w:rFonts w:ascii="Times New Roman" w:eastAsia="Times New Roman" w:hAnsi="Times New Roman" w:cs="Times New Roman"/>
          <w:sz w:val="8"/>
          <w:szCs w:val="8"/>
        </w:rPr>
      </w:pPr>
    </w:p>
    <w:p w:rsidR="009609BF" w:rsidRDefault="0066183D">
      <w:pPr>
        <w:shd w:val="clear" w:color="auto" w:fill="FFFFFF"/>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perjuicio de lo señalado en el inciso precedente, </w:t>
      </w:r>
      <w:r>
        <w:rPr>
          <w:rFonts w:ascii="Times New Roman" w:eastAsia="Times New Roman" w:hAnsi="Times New Roman" w:cs="Times New Roman"/>
          <w:b/>
          <w:sz w:val="24"/>
          <w:szCs w:val="24"/>
        </w:rPr>
        <w:t>podrá solicitarse el procedimiento abreviado, aun cuando hubiere finalizado la audiencia de preparación del juicio oral y hasta antes del envío del auto de apertura al tribunal de juicio oral en lo penal.</w:t>
      </w:r>
      <w:r>
        <w:rPr>
          <w:rFonts w:ascii="Times New Roman" w:eastAsia="Times New Roman" w:hAnsi="Times New Roman" w:cs="Times New Roman"/>
          <w:sz w:val="24"/>
          <w:szCs w:val="24"/>
        </w:rPr>
        <w:t xml:space="preserve"> La solicitud se resolverá de conformidad a lo establecido en el artículo 280 bis.</w:t>
      </w:r>
    </w:p>
    <w:p w:rsidR="009609BF" w:rsidRDefault="009609BF">
      <w:pPr>
        <w:shd w:val="clear" w:color="auto" w:fill="FFFFFF"/>
        <w:spacing w:after="0" w:line="276" w:lineRule="auto"/>
        <w:ind w:left="567"/>
        <w:jc w:val="both"/>
        <w:rPr>
          <w:rFonts w:ascii="Times New Roman" w:eastAsia="Times New Roman" w:hAnsi="Times New Roman" w:cs="Times New Roman"/>
          <w:sz w:val="8"/>
          <w:szCs w:val="8"/>
        </w:rPr>
      </w:pPr>
    </w:p>
    <w:p w:rsidR="009609BF" w:rsidRDefault="0066183D">
      <w:pPr>
        <w:shd w:val="clear" w:color="auto" w:fill="FFFFFF"/>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 no se hubiere deducido aún acusación, el fiscal y el querellante, en su caso, las formularán verbalmente en la audiencia que el tribunal convocare para resolver la solicitud de procedimiento abreviado, a la que deberá citar a todos los intervinientes. Deducidas verbalmente las acusaciones, se procederá en lo demás en conformidad a las reglas de este Título.</w:t>
      </w:r>
    </w:p>
    <w:p w:rsidR="009609BF" w:rsidRDefault="009609BF">
      <w:pPr>
        <w:shd w:val="clear" w:color="auto" w:fill="FFFFFF"/>
        <w:spacing w:after="0" w:line="276" w:lineRule="auto"/>
        <w:ind w:left="567"/>
        <w:jc w:val="both"/>
        <w:rPr>
          <w:rFonts w:ascii="Times New Roman" w:eastAsia="Times New Roman" w:hAnsi="Times New Roman" w:cs="Times New Roman"/>
          <w:sz w:val="8"/>
          <w:szCs w:val="8"/>
        </w:rPr>
      </w:pPr>
    </w:p>
    <w:p w:rsidR="009609BF" w:rsidRDefault="0066183D">
      <w:pPr>
        <w:shd w:val="clear" w:color="auto" w:fill="FFFFFF"/>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 se hubiere deducido acusación, el fiscal y el acusador particular podrán modificarla según las reglas generales, así como la pena requerida, con el fin de permitir la tramitación del caso conforme a las reglas de este Título.</w:t>
      </w:r>
      <w:r>
        <w:rPr>
          <w:rFonts w:ascii="Times New Roman" w:eastAsia="Times New Roman" w:hAnsi="Times New Roman" w:cs="Times New Roman"/>
          <w:sz w:val="24"/>
          <w:szCs w:val="24"/>
        </w:rPr>
        <w:t xml:space="preserve"> Para estos efectos, la aceptación de los hechos a que se refiere el inciso segundo del artículo 406 podrá ser considerada por el fiscal como suficiente para estimar que concurre la circunstancia atenuante del artículo 11, N.º 9, del Código Penal, sin perjuicio de las demás reglas que fueren aplicables para la determinación de la pena …  (Código Procesal de Chile, 2000). </w:t>
      </w:r>
    </w:p>
    <w:p w:rsidR="009609BF" w:rsidRDefault="009609BF">
      <w:pPr>
        <w:spacing w:after="0" w:line="276" w:lineRule="auto"/>
        <w:ind w:firstLine="567"/>
        <w:jc w:val="both"/>
        <w:rPr>
          <w:rFonts w:ascii="Times New Roman" w:eastAsia="Times New Roman" w:hAnsi="Times New Roman" w:cs="Times New Roman"/>
          <w:sz w:val="24"/>
          <w:szCs w:val="24"/>
        </w:rPr>
      </w:pPr>
    </w:p>
    <w:p w:rsidR="009609BF" w:rsidRDefault="0066183D">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una lectura rápida queda evidenciado que lo regulado en el vecino país es distinto a lo concebido en nuestra legislación nacional, es por ello que siempre sugiero previo a invocar legislación comparada, primero cotejemos que esta regula supuestos similares a los recogidos por nuestro legislador, ya que no basta con señalar que porque un país vecino lo acepta nosotros debamos de hacer lo mismo sin tener esto previamente pautado en nuestro ordenamiento. Asimismo, lo señalado por el órgano judicial respecto a que el propio A.P. reconoce que la finalidad de la T.A es </w:t>
      </w:r>
      <w:r>
        <w:rPr>
          <w:rFonts w:ascii="Times New Roman" w:eastAsia="Times New Roman" w:hAnsi="Times New Roman" w:cs="Times New Roman"/>
          <w:b/>
          <w:sz w:val="24"/>
          <w:szCs w:val="24"/>
        </w:rPr>
        <w:t xml:space="preserve">“acortar los tiempos procesales y evitar las etapas procesales comunes intermedia y de enjuiciamiento”, </w:t>
      </w:r>
      <w:r>
        <w:rPr>
          <w:rFonts w:ascii="Times New Roman" w:eastAsia="Times New Roman" w:hAnsi="Times New Roman" w:cs="Times New Roman"/>
          <w:sz w:val="24"/>
          <w:szCs w:val="24"/>
        </w:rPr>
        <w:t>no puede ser interpretado como que durante la E.I. puede tener lugar la incoación del proceso especial de T.A., cualquier persona lega en derecho podría entender esto,</w:t>
      </w:r>
      <w:r>
        <w:rPr>
          <w:rFonts w:ascii="Times New Roman" w:eastAsia="Times New Roman" w:hAnsi="Times New Roman" w:cs="Times New Roman"/>
          <w:b/>
          <w:sz w:val="24"/>
          <w:szCs w:val="24"/>
        </w:rPr>
        <w:t xml:space="preserve"> evitar significa impedir o imposibilitar</w:t>
      </w:r>
      <w:r>
        <w:rPr>
          <w:rFonts w:ascii="Times New Roman" w:eastAsia="Times New Roman" w:hAnsi="Times New Roman" w:cs="Times New Roman"/>
          <w:sz w:val="24"/>
          <w:szCs w:val="24"/>
        </w:rPr>
        <w:t>, es así que al ya haberse iniciado la E.I., ya resulta imposible evitarla, ya esta se encuentra vigente; me preocupa que con fundamentos similares se le pueda ocurrir a alguien desarrollar otra línea de interpretación errada que sostenga que entonces sería mejor devolver al Fiscal su A.F. o R.A., para que así este puede negociar o consensuar con el imputado la incoación de una T.A.</w:t>
      </w:r>
    </w:p>
    <w:p w:rsidR="009609BF" w:rsidRDefault="009609BF">
      <w:pPr>
        <w:tabs>
          <w:tab w:val="left" w:pos="567"/>
        </w:tabs>
        <w:spacing w:after="0" w:line="276" w:lineRule="auto"/>
        <w:jc w:val="both"/>
        <w:rPr>
          <w:rFonts w:ascii="Times New Roman" w:eastAsia="Times New Roman" w:hAnsi="Times New Roman" w:cs="Times New Roman"/>
          <w:b/>
          <w:color w:val="FF0000"/>
          <w:sz w:val="24"/>
          <w:szCs w:val="24"/>
          <w:highlight w:val="yellow"/>
        </w:rPr>
      </w:pPr>
    </w:p>
    <w:p w:rsidR="009609BF" w:rsidRDefault="009609BF">
      <w:pPr>
        <w:tabs>
          <w:tab w:val="left" w:pos="567"/>
        </w:tabs>
        <w:spacing w:after="0" w:line="276" w:lineRule="auto"/>
        <w:jc w:val="both"/>
        <w:rPr>
          <w:rFonts w:ascii="Times New Roman" w:eastAsia="Times New Roman" w:hAnsi="Times New Roman" w:cs="Times New Roman"/>
          <w:b/>
          <w:color w:val="FF0000"/>
          <w:sz w:val="24"/>
          <w:szCs w:val="24"/>
          <w:highlight w:val="yellow"/>
        </w:rPr>
      </w:pPr>
    </w:p>
    <w:p w:rsidR="009609BF" w:rsidRDefault="0066183D">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Situación </w:t>
      </w:r>
      <w:proofErr w:type="gramStart"/>
      <w:r>
        <w:rPr>
          <w:rFonts w:ascii="Times New Roman" w:eastAsia="Times New Roman" w:hAnsi="Times New Roman" w:cs="Times New Roman"/>
          <w:b/>
          <w:sz w:val="28"/>
          <w:szCs w:val="28"/>
        </w:rPr>
        <w:t>Problemática.-</w:t>
      </w:r>
      <w:proofErr w:type="gramEnd"/>
      <w:r>
        <w:rPr>
          <w:rFonts w:ascii="Times New Roman" w:eastAsia="Times New Roman" w:hAnsi="Times New Roman" w:cs="Times New Roman"/>
          <w:b/>
          <w:sz w:val="28"/>
          <w:szCs w:val="28"/>
        </w:rPr>
        <w:t xml:space="preserve"> </w:t>
      </w:r>
    </w:p>
    <w:p w:rsidR="009609BF" w:rsidRDefault="009609BF">
      <w:pPr>
        <w:spacing w:after="0" w:line="276" w:lineRule="auto"/>
        <w:jc w:val="both"/>
        <w:rPr>
          <w:rFonts w:ascii="Times New Roman" w:eastAsia="Times New Roman" w:hAnsi="Times New Roman" w:cs="Times New Roman"/>
          <w:b/>
          <w:sz w:val="24"/>
          <w:szCs w:val="24"/>
        </w:rPr>
      </w:pPr>
    </w:p>
    <w:p w:rsidR="009609BF" w:rsidRDefault="0066183D">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En mi condición de Fiscal Superior y ex Coordinadora del Subsistema Especializado en Delitos de Corrupción de Funcionarios del Ministerio Público, he advertido que lo sostenido por algún sector de la doctrina e incluso por ciertos órganos judiciales respecto a que es posible la incoación de una T.A. durante la E.I., es errado y atentatorio contra los Principios de Legalidad, Acusatorio y Contradicción, para entender esto a continuación plantearé un ejemplo: </w:t>
      </w:r>
    </w:p>
    <w:p w:rsidR="009609BF" w:rsidRDefault="009609BF">
      <w:pPr>
        <w:spacing w:after="0" w:line="276" w:lineRule="auto"/>
        <w:jc w:val="both"/>
        <w:rPr>
          <w:rFonts w:ascii="Times New Roman" w:eastAsia="Times New Roman" w:hAnsi="Times New Roman" w:cs="Times New Roman"/>
          <w:sz w:val="24"/>
          <w:szCs w:val="24"/>
        </w:rPr>
      </w:pPr>
    </w:p>
    <w:p w:rsidR="009609BF" w:rsidRDefault="0066183D">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Moisés durante el año 2013, laboró como asistente administrativo -girador pagador- de un municipio, este se encuentra investigado como presunto autor del </w:t>
      </w:r>
      <w:r>
        <w:rPr>
          <w:rFonts w:ascii="Times New Roman" w:eastAsia="Times New Roman" w:hAnsi="Times New Roman" w:cs="Times New Roman"/>
          <w:sz w:val="24"/>
          <w:szCs w:val="24"/>
        </w:rPr>
        <w:lastRenderedPageBreak/>
        <w:t xml:space="preserve">delito Peculado doloso, en agravio del Estado, en el desarrollo de la Investigación Preparatoria -diligencias preliminares e investigación preparatoria propiamente dicha- se llevaron a cabo las siguientes diligencias: </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Se recabo el expediente original de la orden de servicios relacionado con la emisión de los cheques cuestionados.</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Se solicitó al municipio remite el MOF, ROF, así como el legajo personal del investigado.</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Se solicitó el Levantamiento del Secreto Bancario del municipio para conocer la relación de cheques que esta emitió a nombre de quien.</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Se solicitó a la entidad bancaria que trabaja con el municipio, remita en préstamo los cheques expedidos por el municipio.</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 xml:space="preserve">Se practicó una Pericia </w:t>
      </w:r>
      <w:proofErr w:type="spellStart"/>
      <w:r>
        <w:rPr>
          <w:rFonts w:ascii="Times New Roman" w:eastAsia="Times New Roman" w:hAnsi="Times New Roman" w:cs="Times New Roman"/>
          <w:sz w:val="24"/>
          <w:szCs w:val="24"/>
        </w:rPr>
        <w:t>Grafotécnica</w:t>
      </w:r>
      <w:proofErr w:type="spellEnd"/>
      <w:r>
        <w:rPr>
          <w:rFonts w:ascii="Times New Roman" w:eastAsia="Times New Roman" w:hAnsi="Times New Roman" w:cs="Times New Roman"/>
          <w:sz w:val="24"/>
          <w:szCs w:val="24"/>
        </w:rPr>
        <w:t xml:space="preserve"> para conocer quien consigno los datos en los cheques cuestionados.</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 xml:space="preserve">Se práctico una Pericia </w:t>
      </w:r>
      <w:proofErr w:type="spellStart"/>
      <w:r>
        <w:rPr>
          <w:rFonts w:ascii="Times New Roman" w:eastAsia="Times New Roman" w:hAnsi="Times New Roman" w:cs="Times New Roman"/>
          <w:sz w:val="24"/>
          <w:szCs w:val="24"/>
        </w:rPr>
        <w:t>Grafotécnica</w:t>
      </w:r>
      <w:proofErr w:type="spellEnd"/>
      <w:r>
        <w:rPr>
          <w:rFonts w:ascii="Times New Roman" w:eastAsia="Times New Roman" w:hAnsi="Times New Roman" w:cs="Times New Roman"/>
          <w:sz w:val="24"/>
          <w:szCs w:val="24"/>
        </w:rPr>
        <w:t xml:space="preserve"> para conocer quien consignó distintos en el expediente de la orden de servicios.</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Se practicó una Pericia Contable, con la finalidad de determinar el perjuicio económico ocasionado al Estado.</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
        <w:t xml:space="preserve">Se recibió las declaraciones testimoniales de diez personas que fueron quienes laboran en la Subgerencia de Tesorería del municipio donde tuvieron lugar los hechos objeto de investigación.  </w:t>
      </w:r>
    </w:p>
    <w:p w:rsidR="009609BF" w:rsidRDefault="009609BF">
      <w:pPr>
        <w:spacing w:after="0" w:line="276" w:lineRule="auto"/>
        <w:ind w:left="567"/>
        <w:jc w:val="both"/>
        <w:rPr>
          <w:rFonts w:ascii="Times New Roman" w:eastAsia="Times New Roman" w:hAnsi="Times New Roman" w:cs="Times New Roman"/>
          <w:sz w:val="8"/>
          <w:szCs w:val="8"/>
        </w:rPr>
      </w:pPr>
    </w:p>
    <w:p w:rsidR="009609BF" w:rsidRDefault="0066183D">
      <w:pPr>
        <w:tabs>
          <w:tab w:val="left" w:pos="1134"/>
        </w:tabs>
        <w:spacing w:after="0" w:line="276"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Se recibió la declaración indagatoria del procesado quien negó los hechos objeto de investigación. </w:t>
      </w:r>
    </w:p>
    <w:p w:rsidR="009609BF" w:rsidRDefault="009609BF">
      <w:pPr>
        <w:tabs>
          <w:tab w:val="left" w:pos="1134"/>
        </w:tabs>
        <w:spacing w:after="0" w:line="276" w:lineRule="auto"/>
        <w:ind w:left="1134" w:hanging="567"/>
        <w:jc w:val="both"/>
        <w:rPr>
          <w:rFonts w:ascii="Times New Roman" w:eastAsia="Times New Roman" w:hAnsi="Times New Roman" w:cs="Times New Roman"/>
          <w:sz w:val="8"/>
          <w:szCs w:val="8"/>
        </w:rPr>
      </w:pPr>
    </w:p>
    <w:p w:rsidR="009609BF" w:rsidRDefault="0066183D">
      <w:pPr>
        <w:tabs>
          <w:tab w:val="left" w:pos="567"/>
        </w:tabs>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Luego de cumplido el objeto de la Investigación Preparatoria, se emitió la Disposición de Conclusión y en el plazo de quince días, el Fiscal responsable del caso formuló su A.F. o R.A., la misma que fue presentada ante el órgano judicial, el cual corrió traslado a los sujetos procesales. </w:t>
      </w:r>
    </w:p>
    <w:p w:rsidR="009609BF" w:rsidRDefault="009609BF">
      <w:pPr>
        <w:tabs>
          <w:tab w:val="left" w:pos="567"/>
        </w:tabs>
        <w:spacing w:after="0" w:line="276" w:lineRule="auto"/>
        <w:ind w:left="567"/>
        <w:jc w:val="both"/>
        <w:rPr>
          <w:rFonts w:ascii="Times New Roman" w:eastAsia="Times New Roman" w:hAnsi="Times New Roman" w:cs="Times New Roman"/>
          <w:sz w:val="8"/>
          <w:szCs w:val="8"/>
        </w:rPr>
      </w:pPr>
    </w:p>
    <w:p w:rsidR="009609BF" w:rsidRDefault="0066183D">
      <w:pPr>
        <w:tabs>
          <w:tab w:val="left" w:pos="567"/>
        </w:tabs>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tomar conocimiento Moisés, que el Fiscal solicitó se le imponga una pena </w:t>
      </w:r>
      <w:r>
        <w:rPr>
          <w:rFonts w:ascii="Times New Roman" w:eastAsia="Times New Roman" w:hAnsi="Times New Roman" w:cs="Times New Roman"/>
          <w:b/>
          <w:sz w:val="24"/>
          <w:szCs w:val="24"/>
        </w:rPr>
        <w:t xml:space="preserve">privativa de libertad de cuatro años y nueve </w:t>
      </w:r>
      <w:proofErr w:type="gramStart"/>
      <w:r>
        <w:rPr>
          <w:rFonts w:ascii="Times New Roman" w:eastAsia="Times New Roman" w:hAnsi="Times New Roman" w:cs="Times New Roman"/>
          <w:b/>
          <w:sz w:val="24"/>
          <w:szCs w:val="24"/>
        </w:rPr>
        <w:t>meses,</w:t>
      </w:r>
      <w:r>
        <w:rPr>
          <w:rFonts w:ascii="Times New Roman" w:eastAsia="Times New Roman" w:hAnsi="Times New Roman" w:cs="Times New Roman"/>
          <w:sz w:val="24"/>
          <w:szCs w:val="24"/>
        </w:rPr>
        <w:t xml:space="preserve">  este</w:t>
      </w:r>
      <w:proofErr w:type="gramEnd"/>
      <w:r>
        <w:rPr>
          <w:rFonts w:ascii="Times New Roman" w:eastAsia="Times New Roman" w:hAnsi="Times New Roman" w:cs="Times New Roman"/>
          <w:sz w:val="24"/>
          <w:szCs w:val="24"/>
        </w:rPr>
        <w:t xml:space="preserve"> le solicitó a su abogado conversé con el Fiscal con la finalidad que puedan incoar un proceso de T.A., puesto que con el beneficio de reducción de un sexto de la pena, se le impondrían </w:t>
      </w:r>
      <w:r>
        <w:rPr>
          <w:rFonts w:ascii="Times New Roman" w:eastAsia="Times New Roman" w:hAnsi="Times New Roman" w:cs="Times New Roman"/>
          <w:b/>
          <w:sz w:val="24"/>
          <w:szCs w:val="24"/>
        </w:rPr>
        <w:t>tres años, once meses y quince días,</w:t>
      </w:r>
      <w:r>
        <w:rPr>
          <w:rFonts w:ascii="Times New Roman" w:eastAsia="Times New Roman" w:hAnsi="Times New Roman" w:cs="Times New Roman"/>
          <w:sz w:val="24"/>
          <w:szCs w:val="24"/>
        </w:rPr>
        <w:t xml:space="preserve"> pudiendo la pena convertirse en una pena privativa de libertad suspendida en su ejecución. </w:t>
      </w:r>
    </w:p>
    <w:p w:rsidR="009609BF" w:rsidRDefault="009609BF">
      <w:pPr>
        <w:tabs>
          <w:tab w:val="left" w:pos="567"/>
        </w:tabs>
        <w:spacing w:after="0" w:line="276" w:lineRule="auto"/>
        <w:ind w:left="567"/>
        <w:jc w:val="both"/>
        <w:rPr>
          <w:rFonts w:ascii="Times New Roman" w:eastAsia="Times New Roman" w:hAnsi="Times New Roman" w:cs="Times New Roman"/>
          <w:sz w:val="24"/>
          <w:szCs w:val="24"/>
        </w:rPr>
      </w:pPr>
    </w:p>
    <w:p w:rsidR="009609BF" w:rsidRDefault="0066183D">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En el caso planteado el Fiscal tendrá dos opciones,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Aceptar la propuesta de la defensa técnica de Moisés e incoar el proceso especial de T.A.; o</w:t>
      </w:r>
      <w:r>
        <w:rPr>
          <w:rFonts w:ascii="Times New Roman" w:eastAsia="Times New Roman" w:hAnsi="Times New Roman" w:cs="Times New Roman"/>
          <w:b/>
          <w:sz w:val="24"/>
          <w:szCs w:val="24"/>
        </w:rPr>
        <w:t xml:space="preserve"> b) Rechazar la propuesta de la defensa técnica de Moisés y continuar con el desarrollo del proceso penal común, puesto que el momento para incoar el proceso especial de T.A. ya precluyó</w:t>
      </w:r>
      <w:r>
        <w:rPr>
          <w:rFonts w:ascii="Times New Roman" w:eastAsia="Times New Roman" w:hAnsi="Times New Roman" w:cs="Times New Roman"/>
          <w:sz w:val="24"/>
          <w:szCs w:val="24"/>
        </w:rPr>
        <w:t xml:space="preserve">, considero que el Fiscal debería de decantarse por la opción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teniendo en consideración que el proceso especial de T.A., solo puede ser incoado durante el </w:t>
      </w:r>
      <w:r>
        <w:rPr>
          <w:rFonts w:ascii="Times New Roman" w:eastAsia="Times New Roman" w:hAnsi="Times New Roman" w:cs="Times New Roman"/>
          <w:sz w:val="24"/>
          <w:szCs w:val="24"/>
        </w:rPr>
        <w:lastRenderedPageBreak/>
        <w:t xml:space="preserve">desarrollo de la investigación preparatoria, es decir, desde que se emite la </w:t>
      </w:r>
      <w:r>
        <w:rPr>
          <w:rFonts w:ascii="Times New Roman" w:eastAsia="Times New Roman" w:hAnsi="Times New Roman" w:cs="Times New Roman"/>
          <w:b/>
          <w:sz w:val="24"/>
          <w:szCs w:val="24"/>
        </w:rPr>
        <w:t>Disposición Fiscal de Formalización y Continuación de la Investigación Preparatoria</w:t>
      </w:r>
      <w:r>
        <w:rPr>
          <w:rFonts w:ascii="Times New Roman" w:eastAsia="Times New Roman" w:hAnsi="Times New Roman" w:cs="Times New Roman"/>
          <w:sz w:val="24"/>
          <w:szCs w:val="24"/>
        </w:rPr>
        <w:t xml:space="preserve"> -artículo 336 del N.C.P.P. 2004- hasta antes que se formule la A.F. o R.A. -que ocurrirá como máximo hasta quince días posteriores de emitida la </w:t>
      </w:r>
      <w:r>
        <w:rPr>
          <w:rFonts w:ascii="Times New Roman" w:eastAsia="Times New Roman" w:hAnsi="Times New Roman" w:cs="Times New Roman"/>
          <w:b/>
          <w:sz w:val="24"/>
          <w:szCs w:val="24"/>
        </w:rPr>
        <w:t>Disposición de Conclusión de la Investigación Preparatoria</w:t>
      </w:r>
      <w:r>
        <w:rPr>
          <w:rFonts w:ascii="Times New Roman" w:eastAsia="Times New Roman" w:hAnsi="Times New Roman" w:cs="Times New Roman"/>
          <w:sz w:val="24"/>
          <w:szCs w:val="24"/>
        </w:rPr>
        <w:t xml:space="preserve"> -artículo 343 del N.C.P.P. 2004-; es así luego de formulada la A.F. o R.Q., es decir,  de presentarse el escrito que la contiene con todas las exigencias del artículo 349 del N.C.P.P. 2004,  ante el órgano de judicial, con esa presentación, ya precluyó toda posibilidad de incoación del proceso especial antes mencionado, el desconocer esto, sería soslayar los Principios de Legalidad, Acusatorio y Contradicción, señalo esto puesto que el Fiscal al formular A.F. o R.A., ya se convirtió en parte procesal, sentó su postura respecto a los hechos objeto de proceso y delimitó los contornos del debate, pese a que se pretenda negar la trascendencia de la formulación de la A.F. o R.A. por escrito, y se señale que lo relevante en nuestro sistema es la oralidad, considero que esto es errado, ya que nuestro sistema en primer lugar no es oral u oral puro, sino que por el contrario este es mixto, esto se desprenderá de una lectura integral de nuestro N.C.P.P. 2004, conforme he señalado antes.  </w:t>
      </w:r>
    </w:p>
    <w:p w:rsidR="009609BF" w:rsidRDefault="009609BF">
      <w:pPr>
        <w:tabs>
          <w:tab w:val="left" w:pos="567"/>
        </w:tabs>
        <w:spacing w:after="0" w:line="276" w:lineRule="auto"/>
        <w:jc w:val="both"/>
        <w:rPr>
          <w:rFonts w:ascii="Times New Roman" w:eastAsia="Times New Roman" w:hAnsi="Times New Roman" w:cs="Times New Roman"/>
          <w:sz w:val="24"/>
          <w:szCs w:val="24"/>
        </w:rPr>
      </w:pPr>
    </w:p>
    <w:p w:rsidR="009609BF" w:rsidRDefault="0066183D">
      <w:pPr>
        <w:tabs>
          <w:tab w:val="left" w:pos="56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Ahora bien, en el caso práctico propuesto, ya se transitó por la Investigación Preparatoria -diligencias preliminares e investigación preparatoria propiamente dicha- bajo la dirección del Ministerio Público, ya se inició la E.I. que se encuentra bajo la dirección del Juez;  el Fiscal ya emitió la A.F. o R.A., considero que ya se transitó por más de la mitad del proceso penal, entonces que tan relevante sería la celeridad o economía procesal en este momento, los jueces han señalado de forma recurrente esto y por ello señalé antes que los principios mencionados deben de identificarse a lo largo del proceso penal y no solo desde una óptica institucional, puesto que incluso se podría creer que los jueces quienes deberán de asumir la dirección de la E.I y el Juzgamiento, buscan evitar esto a toda costa; en el caso propuesto el único beneficiado sería Moisés, quien durante la etapa de investigación, no tuvo la voluntad de reconocer su responsabilidad y evitar con ello la realización de ciertos actos de investigación, como por ejemplo la realización de pericias </w:t>
      </w:r>
      <w:proofErr w:type="spellStart"/>
      <w:r>
        <w:rPr>
          <w:rFonts w:ascii="Times New Roman" w:eastAsia="Times New Roman" w:hAnsi="Times New Roman" w:cs="Times New Roman"/>
          <w:sz w:val="24"/>
          <w:szCs w:val="24"/>
        </w:rPr>
        <w:t>grafotécnicas</w:t>
      </w:r>
      <w:proofErr w:type="spellEnd"/>
      <w:r>
        <w:rPr>
          <w:rFonts w:ascii="Times New Roman" w:eastAsia="Times New Roman" w:hAnsi="Times New Roman" w:cs="Times New Roman"/>
          <w:sz w:val="24"/>
          <w:szCs w:val="24"/>
        </w:rPr>
        <w:t xml:space="preserve"> y contables, entre otros, y es recién luego de conocer que el Fiscal emitió su A.F. o R.A., en el cual este solicitó se le imponga una pena </w:t>
      </w:r>
      <w:r>
        <w:rPr>
          <w:rFonts w:ascii="Times New Roman" w:eastAsia="Times New Roman" w:hAnsi="Times New Roman" w:cs="Times New Roman"/>
          <w:b/>
          <w:sz w:val="24"/>
          <w:szCs w:val="24"/>
        </w:rPr>
        <w:t xml:space="preserve">privativa de libertad de cuatro años y nueve meses, </w:t>
      </w:r>
      <w:r>
        <w:rPr>
          <w:rFonts w:ascii="Times New Roman" w:eastAsia="Times New Roman" w:hAnsi="Times New Roman" w:cs="Times New Roman"/>
          <w:sz w:val="24"/>
          <w:szCs w:val="24"/>
        </w:rPr>
        <w:t>que</w:t>
      </w:r>
      <w:r>
        <w:rPr>
          <w:rFonts w:ascii="Times New Roman" w:eastAsia="Times New Roman" w:hAnsi="Times New Roman" w:cs="Times New Roman"/>
          <w:b/>
          <w:sz w:val="24"/>
          <w:szCs w:val="24"/>
        </w:rPr>
        <w:t xml:space="preserve"> Moisés </w:t>
      </w:r>
      <w:r>
        <w:rPr>
          <w:rFonts w:ascii="Times New Roman" w:eastAsia="Times New Roman" w:hAnsi="Times New Roman" w:cs="Times New Roman"/>
          <w:sz w:val="24"/>
          <w:szCs w:val="24"/>
        </w:rPr>
        <w:t xml:space="preserve">se preocupa y decide acogerse a un proceso especial de T.A., para así obtener la reducción de un sexto de la pena y que esta se convierta en </w:t>
      </w:r>
      <w:r>
        <w:rPr>
          <w:rFonts w:ascii="Times New Roman" w:eastAsia="Times New Roman" w:hAnsi="Times New Roman" w:cs="Times New Roman"/>
          <w:b/>
          <w:sz w:val="24"/>
          <w:szCs w:val="24"/>
        </w:rPr>
        <w:t>tres años, once meses y quince días,</w:t>
      </w:r>
      <w:r>
        <w:rPr>
          <w:rFonts w:ascii="Times New Roman" w:eastAsia="Times New Roman" w:hAnsi="Times New Roman" w:cs="Times New Roman"/>
          <w:sz w:val="24"/>
          <w:szCs w:val="24"/>
        </w:rPr>
        <w:t xml:space="preserve"> lo que se traduce en que esta sea una pena suspendida; como puede advertirse, Moisés no denota ningún tipo de arrepentimiento por la comisión del ilícito, ni busca reparar el perjuicio económico ocasionado, sino que estratégicamente pretende no purgar una pena de privativa de libertad efectiva; en todo caso, si este tiene la voluntad de reconocer los hechos, bien podría esperar el inicio del Juzgamiento y se acogerse a la conclusión anticipada del juicio o conformidad -artículo 372 del N.C.P.P. 2004-, pero es evidente que Moisés no querrá esto, puesto que el beneficio por la conclusión anticipada o conformidad es menor al de la T.A., en específico si a la pena requerida se le descontara un sétimo en mérito a esta última figura procesal, se le debería imponer </w:t>
      </w:r>
      <w:r>
        <w:rPr>
          <w:rFonts w:ascii="Times New Roman" w:eastAsia="Times New Roman" w:hAnsi="Times New Roman" w:cs="Times New Roman"/>
          <w:b/>
          <w:sz w:val="24"/>
          <w:szCs w:val="24"/>
        </w:rPr>
        <w:t xml:space="preserve">cuatro años y </w:t>
      </w:r>
      <w:r>
        <w:rPr>
          <w:rFonts w:ascii="Times New Roman" w:eastAsia="Times New Roman" w:hAnsi="Times New Roman" w:cs="Times New Roman"/>
          <w:b/>
          <w:sz w:val="24"/>
          <w:szCs w:val="24"/>
        </w:rPr>
        <w:lastRenderedPageBreak/>
        <w:t>un mes de pena privativa de libertad efectiva,</w:t>
      </w:r>
      <w:r>
        <w:rPr>
          <w:rFonts w:ascii="Times New Roman" w:eastAsia="Times New Roman" w:hAnsi="Times New Roman" w:cs="Times New Roman"/>
          <w:sz w:val="24"/>
          <w:szCs w:val="24"/>
        </w:rPr>
        <w:t xml:space="preserve"> no siendo posible el convertir esta pena efectiva en suspendida de acuerdo a lo señalado por el artículo 57 de nuestro Código Penal de 1991. </w:t>
      </w:r>
    </w:p>
    <w:p w:rsidR="009609BF" w:rsidRDefault="009609BF">
      <w:pPr>
        <w:spacing w:after="0" w:line="276" w:lineRule="auto"/>
        <w:jc w:val="both"/>
        <w:rPr>
          <w:rFonts w:ascii="Times New Roman" w:eastAsia="Times New Roman" w:hAnsi="Times New Roman" w:cs="Times New Roman"/>
          <w:b/>
          <w:sz w:val="24"/>
          <w:szCs w:val="24"/>
        </w:rPr>
      </w:pPr>
    </w:p>
    <w:p w:rsidR="009609BF" w:rsidRDefault="009609BF">
      <w:pPr>
        <w:spacing w:after="0" w:line="276" w:lineRule="auto"/>
        <w:jc w:val="both"/>
        <w:rPr>
          <w:rFonts w:ascii="Times New Roman" w:eastAsia="Times New Roman" w:hAnsi="Times New Roman" w:cs="Times New Roman"/>
          <w:b/>
          <w:sz w:val="24"/>
          <w:szCs w:val="24"/>
        </w:rPr>
      </w:pPr>
    </w:p>
    <w:p w:rsidR="009609BF" w:rsidRDefault="0066183D">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Toma de </w:t>
      </w:r>
      <w:proofErr w:type="gramStart"/>
      <w:r>
        <w:rPr>
          <w:rFonts w:ascii="Times New Roman" w:eastAsia="Times New Roman" w:hAnsi="Times New Roman" w:cs="Times New Roman"/>
          <w:b/>
          <w:sz w:val="28"/>
          <w:szCs w:val="28"/>
        </w:rPr>
        <w:t>Postura.-</w:t>
      </w:r>
      <w:proofErr w:type="gramEnd"/>
      <w:r>
        <w:rPr>
          <w:rFonts w:ascii="Times New Roman" w:eastAsia="Times New Roman" w:hAnsi="Times New Roman" w:cs="Times New Roman"/>
          <w:b/>
          <w:sz w:val="28"/>
          <w:szCs w:val="28"/>
        </w:rPr>
        <w:t xml:space="preserve"> </w:t>
      </w:r>
    </w:p>
    <w:p w:rsidR="009609BF" w:rsidRDefault="009609BF">
      <w:pPr>
        <w:spacing w:after="0" w:line="276" w:lineRule="auto"/>
        <w:jc w:val="both"/>
        <w:rPr>
          <w:rFonts w:ascii="Times New Roman" w:eastAsia="Times New Roman" w:hAnsi="Times New Roman" w:cs="Times New Roman"/>
          <w:b/>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nuestro país es algo recurrente el identificar a la sobrecarga laboral como la causante de todos los males que aquejan al sistema de administración de justicia, esto no es algo reciente, sino por el contrario tiene larga data, señalo esto por lo siguiente, si retrotraemos el tiempo y nos situamos en 1940, cuando entró en vigor el </w:t>
      </w:r>
      <w:r>
        <w:rPr>
          <w:rFonts w:ascii="Times New Roman" w:eastAsia="Times New Roman" w:hAnsi="Times New Roman" w:cs="Times New Roman"/>
          <w:b/>
          <w:color w:val="000000"/>
          <w:sz w:val="24"/>
          <w:szCs w:val="24"/>
        </w:rPr>
        <w:t>Código de Procedimientos Penales</w:t>
      </w:r>
      <w:r>
        <w:rPr>
          <w:rFonts w:ascii="Times New Roman" w:eastAsia="Times New Roman" w:hAnsi="Times New Roman" w:cs="Times New Roman"/>
          <w:color w:val="000000"/>
          <w:sz w:val="24"/>
          <w:szCs w:val="24"/>
        </w:rPr>
        <w:t xml:space="preserve"> o </w:t>
      </w:r>
      <w:r>
        <w:rPr>
          <w:rFonts w:ascii="Times New Roman" w:eastAsia="Times New Roman" w:hAnsi="Times New Roman" w:cs="Times New Roman"/>
          <w:b/>
          <w:color w:val="000000"/>
          <w:sz w:val="24"/>
          <w:szCs w:val="24"/>
        </w:rPr>
        <w:t>Ley N.º 9024</w:t>
      </w:r>
      <w:r>
        <w:rPr>
          <w:rFonts w:ascii="Times New Roman" w:eastAsia="Times New Roman" w:hAnsi="Times New Roman" w:cs="Times New Roman"/>
          <w:color w:val="000000"/>
          <w:sz w:val="24"/>
          <w:szCs w:val="24"/>
        </w:rPr>
        <w:t xml:space="preserve">, que instauró un proceso penal ordinario dividido en dos etapas la primera de estas denominada pre jurisdiccional bajo la dirección del Ministerio Público; y la segunda denominada jurisdiccional, la cual comprendía la instrucción a cargo del Juez Instructor y el juicio oral a cargo de la Sala Penal; este proceso que en uno inicio se presentó como moderno y acorde con las exigencias de esos tiempos, rigió solo por aproximadamente veintiocho años, hasta 1968, fecha en la cual a través del Decreto Ley N.º 17110, se reformó el proceso penal peruano y se introdujo un proceso penal sumario aplicable a aproximadamente quince delitos, el cual se presentaba como un proceso más célere ya que se suprimía el juicio oral, el motivo de esta reforma fue combatir la sobrecarga laboral, incluso el propio decreto hizo referencia de forma general a esta, al señalar en su exposición lo siguiente “es necesario dictar normas procesales tendientes a activar los procesos y hacer pronta y oportuna la administración de justicia penal” (Decreto Ley N.º 17110, 1968). </w:t>
      </w:r>
    </w:p>
    <w:p w:rsidR="009609BF" w:rsidRDefault="009609BF">
      <w:pPr>
        <w:tabs>
          <w:tab w:val="left" w:pos="567"/>
        </w:tabs>
        <w:spacing w:after="0" w:line="276" w:lineRule="auto"/>
        <w:jc w:val="both"/>
        <w:rPr>
          <w:rFonts w:ascii="Times New Roman" w:eastAsia="Times New Roman" w:hAnsi="Times New Roman" w:cs="Times New Roman"/>
          <w:color w:val="000000"/>
          <w:sz w:val="24"/>
          <w:szCs w:val="24"/>
        </w:rPr>
      </w:pPr>
    </w:p>
    <w:p w:rsidR="009609BF" w:rsidRDefault="0066183D">
      <w:pPr>
        <w:tabs>
          <w:tab w:val="left" w:pos="567"/>
        </w:tabs>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aplicación del proceso penal sumario no logró los resultados esperados, la sobrecarga laboral siguió tornándose inmanejable, por lo que se optó por ampliar su aplicación ya no a quince ilícitos, sino a aproximadamente el 85% de la totalidad de estos, como lo prescribió el Decreto Legislativo N.º 124 de fecha 12 de junio de 1981; ahora bien, luego de aproximadamente treinta y nueve años, considero que esta reforma no ha logrado solucionar este problema que se pretendió afrontar. Algo anecdótico y que considero necesario recalcar es que el proceso en comento, no fue una invención de nuestro legislador, este fue una copia del proceso penal sumario español, el cual se creía contribuía a la simplificación procesal a cambio de sacrificar ciertas garantías, lo anecdótico es que  pese a que en el Reino de España, este proceso fue declarado por su Tribunal Constitucional, como inconstitucional, a través de su Sentencia N.º 145/1988 de fecha 12 de julio de 1988; en nuestro país hasta hace muy poco este aún seguía vigente en varios Distritos Judiciales.  </w:t>
      </w:r>
    </w:p>
    <w:p w:rsidR="009609BF" w:rsidRDefault="009609BF">
      <w:pPr>
        <w:tabs>
          <w:tab w:val="left" w:pos="567"/>
        </w:tabs>
        <w:spacing w:after="0" w:line="276" w:lineRule="auto"/>
        <w:ind w:firstLine="567"/>
        <w:jc w:val="both"/>
        <w:rPr>
          <w:rFonts w:ascii="Times New Roman" w:eastAsia="Times New Roman" w:hAnsi="Times New Roman" w:cs="Times New Roman"/>
          <w:color w:val="000000"/>
          <w:sz w:val="24"/>
          <w:szCs w:val="24"/>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señalé en los párrafos precedentes,  el problema de la sobrecarga laboral es de larga data, por ello considero un error el que algunos académicos y magistrados sostengan que permitiéndose la incoación del proceso especial de T.A., durante la E.I., </w:t>
      </w:r>
      <w:r>
        <w:rPr>
          <w:rFonts w:ascii="Times New Roman" w:eastAsia="Times New Roman" w:hAnsi="Times New Roman" w:cs="Times New Roman"/>
          <w:color w:val="000000"/>
          <w:sz w:val="24"/>
          <w:szCs w:val="24"/>
        </w:rPr>
        <w:lastRenderedPageBreak/>
        <w:t>se solucionará ello, más aún, si para eso no solo realizamos interpretaciones que tergiversan lo establecido por nuestro N.C.P.P. 2004, sino que además para justificar esto se atenta contra instituciones procesales que cuentan con reconocimiento constitucional, como es el caso de la preclusión, y no siendo suficiente con esto, además se soslayan ciertos principios.</w:t>
      </w:r>
    </w:p>
    <w:p w:rsidR="009609BF" w:rsidRDefault="009609BF">
      <w:pPr>
        <w:spacing w:after="0" w:line="276" w:lineRule="auto"/>
        <w:ind w:firstLine="567"/>
        <w:jc w:val="both"/>
        <w:rPr>
          <w:rFonts w:ascii="Times New Roman" w:eastAsia="Times New Roman" w:hAnsi="Times New Roman" w:cs="Times New Roman"/>
          <w:color w:val="000000"/>
          <w:sz w:val="24"/>
          <w:szCs w:val="24"/>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Asimismo, con la finalidad de poner coto a interpretaciones erradas por parte de académicos y en especial de magistrados que se apartan sin ningún sustento de la doctrina legal establecida por la Corte Suprema de Justicia de la República, es decir, las rechazan sin presentar buenas y mejores razones que sostengan su postura, considero que se debería de realizar una reforma al inciso 1) del artículo 468 del N.C.P.P. 2004, conforme describo en la siguiente tabla.  </w:t>
      </w:r>
    </w:p>
    <w:p w:rsidR="009609BF" w:rsidRDefault="009609BF">
      <w:pPr>
        <w:spacing w:after="0" w:line="276" w:lineRule="auto"/>
        <w:ind w:firstLine="567"/>
        <w:jc w:val="both"/>
        <w:rPr>
          <w:rFonts w:ascii="Times New Roman" w:eastAsia="Times New Roman" w:hAnsi="Times New Roman" w:cs="Times New Roman"/>
          <w:color w:val="000000"/>
          <w:sz w:val="24"/>
          <w:szCs w:val="24"/>
        </w:rPr>
      </w:pPr>
    </w:p>
    <w:tbl>
      <w:tblPr>
        <w:tblStyle w:val="a3"/>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9609BF">
        <w:tc>
          <w:tcPr>
            <w:tcW w:w="8494" w:type="dxa"/>
            <w:gridSpan w:val="2"/>
            <w:shd w:val="clear" w:color="auto" w:fill="000000"/>
          </w:tcPr>
          <w:p w:rsidR="009609BF" w:rsidRDefault="009609BF">
            <w:pPr>
              <w:jc w:val="center"/>
              <w:rPr>
                <w:rFonts w:ascii="Times New Roman" w:eastAsia="Times New Roman" w:hAnsi="Times New Roman" w:cs="Times New Roman"/>
                <w:b/>
                <w:color w:val="FFFFFF"/>
                <w:sz w:val="8"/>
                <w:szCs w:val="8"/>
              </w:rPr>
            </w:pPr>
          </w:p>
          <w:p w:rsidR="009609BF" w:rsidRDefault="0066183D">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Nuevo Código Procesal Penal de 2004</w:t>
            </w:r>
          </w:p>
          <w:p w:rsidR="009609BF" w:rsidRDefault="009609BF">
            <w:pPr>
              <w:jc w:val="center"/>
              <w:rPr>
                <w:rFonts w:ascii="Times New Roman" w:eastAsia="Times New Roman" w:hAnsi="Times New Roman" w:cs="Times New Roman"/>
                <w:b/>
                <w:color w:val="FFFFFF"/>
                <w:sz w:val="8"/>
                <w:szCs w:val="8"/>
              </w:rPr>
            </w:pPr>
          </w:p>
        </w:tc>
      </w:tr>
      <w:tr w:rsidR="009609BF">
        <w:tc>
          <w:tcPr>
            <w:tcW w:w="4247" w:type="dxa"/>
            <w:shd w:val="clear" w:color="auto" w:fill="000000"/>
          </w:tcPr>
          <w:p w:rsidR="009609BF" w:rsidRDefault="009609BF">
            <w:pPr>
              <w:jc w:val="center"/>
              <w:rPr>
                <w:rFonts w:ascii="Times New Roman" w:eastAsia="Times New Roman" w:hAnsi="Times New Roman" w:cs="Times New Roman"/>
                <w:b/>
                <w:color w:val="FFFFFF"/>
                <w:sz w:val="8"/>
                <w:szCs w:val="8"/>
              </w:rPr>
            </w:pPr>
          </w:p>
          <w:p w:rsidR="009609BF" w:rsidRDefault="0066183D">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Texto actual</w:t>
            </w:r>
          </w:p>
          <w:p w:rsidR="009609BF" w:rsidRDefault="009609BF">
            <w:pPr>
              <w:jc w:val="center"/>
              <w:rPr>
                <w:rFonts w:ascii="Times New Roman" w:eastAsia="Times New Roman" w:hAnsi="Times New Roman" w:cs="Times New Roman"/>
                <w:b/>
                <w:color w:val="FFFFFF"/>
                <w:sz w:val="8"/>
                <w:szCs w:val="8"/>
              </w:rPr>
            </w:pPr>
          </w:p>
        </w:tc>
        <w:tc>
          <w:tcPr>
            <w:tcW w:w="4247" w:type="dxa"/>
            <w:shd w:val="clear" w:color="auto" w:fill="000000"/>
          </w:tcPr>
          <w:p w:rsidR="009609BF" w:rsidRDefault="009609BF">
            <w:pPr>
              <w:jc w:val="center"/>
              <w:rPr>
                <w:rFonts w:ascii="Times New Roman" w:eastAsia="Times New Roman" w:hAnsi="Times New Roman" w:cs="Times New Roman"/>
                <w:b/>
                <w:color w:val="FFFFFF"/>
                <w:sz w:val="8"/>
                <w:szCs w:val="8"/>
              </w:rPr>
            </w:pPr>
          </w:p>
          <w:p w:rsidR="009609BF" w:rsidRDefault="0066183D">
            <w:pPr>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Propuesta de reforma legislativa</w:t>
            </w:r>
          </w:p>
          <w:p w:rsidR="009609BF" w:rsidRDefault="009609BF">
            <w:pPr>
              <w:jc w:val="center"/>
              <w:rPr>
                <w:rFonts w:ascii="Times New Roman" w:eastAsia="Times New Roman" w:hAnsi="Times New Roman" w:cs="Times New Roman"/>
                <w:b/>
                <w:color w:val="FFFFFF"/>
                <w:sz w:val="8"/>
                <w:szCs w:val="8"/>
              </w:rPr>
            </w:pPr>
          </w:p>
        </w:tc>
      </w:tr>
      <w:tr w:rsidR="009609BF">
        <w:tc>
          <w:tcPr>
            <w:tcW w:w="4247" w:type="dxa"/>
          </w:tcPr>
          <w:p w:rsidR="009609BF" w:rsidRDefault="009609BF">
            <w:pPr>
              <w:spacing w:line="276" w:lineRule="auto"/>
              <w:jc w:val="both"/>
              <w:rPr>
                <w:rFonts w:ascii="Times New Roman" w:eastAsia="Times New Roman" w:hAnsi="Times New Roman" w:cs="Times New Roman"/>
                <w:color w:val="000000"/>
                <w:sz w:val="8"/>
                <w:szCs w:val="8"/>
              </w:rPr>
            </w:pP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Artículo 468.-</w:t>
            </w:r>
            <w:r>
              <w:rPr>
                <w:rFonts w:ascii="Times New Roman" w:eastAsia="Times New Roman" w:hAnsi="Times New Roman" w:cs="Times New Roman"/>
                <w:color w:val="000000"/>
                <w:sz w:val="16"/>
                <w:szCs w:val="16"/>
              </w:rPr>
              <w:t xml:space="preserve"> Normas de </w:t>
            </w:r>
            <w:proofErr w:type="gramStart"/>
            <w:r>
              <w:rPr>
                <w:rFonts w:ascii="Times New Roman" w:eastAsia="Times New Roman" w:hAnsi="Times New Roman" w:cs="Times New Roman"/>
                <w:color w:val="000000"/>
                <w:sz w:val="16"/>
                <w:szCs w:val="16"/>
              </w:rPr>
              <w:t>aplicación.-</w:t>
            </w:r>
            <w:proofErr w:type="gramEnd"/>
            <w:r>
              <w:rPr>
                <w:rFonts w:ascii="Times New Roman" w:eastAsia="Times New Roman" w:hAnsi="Times New Roman" w:cs="Times New Roman"/>
                <w:color w:val="000000"/>
                <w:sz w:val="16"/>
                <w:szCs w:val="16"/>
              </w:rPr>
              <w:t xml:space="preserve"> Los procesos podrán terminar anticipadamente, observando las siguientes reglas:</w:t>
            </w:r>
          </w:p>
          <w:p w:rsidR="009609BF" w:rsidRDefault="009609BF">
            <w:pPr>
              <w:spacing w:line="276" w:lineRule="auto"/>
              <w:jc w:val="both"/>
              <w:rPr>
                <w:rFonts w:ascii="Times New Roman" w:eastAsia="Times New Roman" w:hAnsi="Times New Roman" w:cs="Times New Roman"/>
                <w:color w:val="000000"/>
                <w:sz w:val="8"/>
                <w:szCs w:val="8"/>
              </w:rPr>
            </w:pPr>
          </w:p>
          <w:p w:rsidR="009609BF" w:rsidRDefault="0066183D">
            <w:pPr>
              <w:numPr>
                <w:ilvl w:val="0"/>
                <w:numId w:val="12"/>
              </w:numPr>
              <w:pBdr>
                <w:top w:val="nil"/>
                <w:left w:val="nil"/>
                <w:bottom w:val="nil"/>
                <w:right w:val="nil"/>
                <w:between w:val="nil"/>
              </w:pBdr>
              <w:spacing w:after="160" w:line="276" w:lineRule="auto"/>
              <w:ind w:left="315" w:hanging="284"/>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 iniciativa del Fiscal o del imputado, el Juez de la Investigación Preparatoria </w:t>
            </w:r>
            <w:r>
              <w:rPr>
                <w:rFonts w:ascii="Times New Roman" w:eastAsia="Times New Roman" w:hAnsi="Times New Roman" w:cs="Times New Roman"/>
                <w:b/>
                <w:color w:val="000000"/>
                <w:sz w:val="16"/>
                <w:szCs w:val="16"/>
                <w:u w:val="single"/>
              </w:rPr>
              <w:t>dispondrá una vez expedida la Disposición Fiscal del artículo 336 y hasta antes de formularse acusación fiscal,</w:t>
            </w:r>
            <w:r>
              <w:rPr>
                <w:rFonts w:ascii="Times New Roman" w:eastAsia="Times New Roman" w:hAnsi="Times New Roman" w:cs="Times New Roman"/>
                <w:color w:val="000000"/>
                <w:sz w:val="16"/>
                <w:szCs w:val="16"/>
              </w:rPr>
              <w:t xml:space="preserve"> pero por una sola vez, la celebración de una audiencia de terminación anticipada, de carácter privada. Su celebración no impide la continuación del proceso. Se formará, al respecto, cuaderno aparte…</w:t>
            </w:r>
          </w:p>
          <w:p w:rsidR="009609BF" w:rsidRDefault="009609BF">
            <w:pPr>
              <w:spacing w:line="276" w:lineRule="auto"/>
              <w:jc w:val="both"/>
              <w:rPr>
                <w:rFonts w:ascii="Times New Roman" w:eastAsia="Times New Roman" w:hAnsi="Times New Roman" w:cs="Times New Roman"/>
                <w:color w:val="000000"/>
                <w:sz w:val="20"/>
                <w:szCs w:val="20"/>
              </w:rPr>
            </w:pPr>
          </w:p>
        </w:tc>
        <w:tc>
          <w:tcPr>
            <w:tcW w:w="4247" w:type="dxa"/>
          </w:tcPr>
          <w:p w:rsidR="009609BF" w:rsidRDefault="009609BF">
            <w:pPr>
              <w:spacing w:line="276" w:lineRule="auto"/>
              <w:jc w:val="both"/>
              <w:rPr>
                <w:rFonts w:ascii="Times New Roman" w:eastAsia="Times New Roman" w:hAnsi="Times New Roman" w:cs="Times New Roman"/>
                <w:color w:val="000000"/>
                <w:sz w:val="8"/>
                <w:szCs w:val="8"/>
              </w:rPr>
            </w:pPr>
          </w:p>
          <w:p w:rsidR="009609BF" w:rsidRDefault="0066183D">
            <w:pPr>
              <w:spacing w:line="276"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Artículo 468.-</w:t>
            </w:r>
            <w:r>
              <w:rPr>
                <w:rFonts w:ascii="Times New Roman" w:eastAsia="Times New Roman" w:hAnsi="Times New Roman" w:cs="Times New Roman"/>
                <w:color w:val="000000"/>
                <w:sz w:val="16"/>
                <w:szCs w:val="16"/>
              </w:rPr>
              <w:t xml:space="preserve"> Normas de </w:t>
            </w:r>
            <w:proofErr w:type="gramStart"/>
            <w:r>
              <w:rPr>
                <w:rFonts w:ascii="Times New Roman" w:eastAsia="Times New Roman" w:hAnsi="Times New Roman" w:cs="Times New Roman"/>
                <w:color w:val="000000"/>
                <w:sz w:val="16"/>
                <w:szCs w:val="16"/>
              </w:rPr>
              <w:t>aplicación.-</w:t>
            </w:r>
            <w:proofErr w:type="gramEnd"/>
            <w:r>
              <w:rPr>
                <w:rFonts w:ascii="Times New Roman" w:eastAsia="Times New Roman" w:hAnsi="Times New Roman" w:cs="Times New Roman"/>
                <w:color w:val="000000"/>
                <w:sz w:val="16"/>
                <w:szCs w:val="16"/>
              </w:rPr>
              <w:t xml:space="preserve"> Los procesos podrán terminar anticipadamente, observando las siguientes reglas:</w:t>
            </w:r>
          </w:p>
          <w:p w:rsidR="009609BF" w:rsidRDefault="009609BF">
            <w:pPr>
              <w:spacing w:line="276" w:lineRule="auto"/>
              <w:jc w:val="both"/>
              <w:rPr>
                <w:rFonts w:ascii="Times New Roman" w:eastAsia="Times New Roman" w:hAnsi="Times New Roman" w:cs="Times New Roman"/>
                <w:color w:val="000000"/>
                <w:sz w:val="8"/>
                <w:szCs w:val="8"/>
              </w:rPr>
            </w:pPr>
          </w:p>
          <w:p w:rsidR="009609BF" w:rsidRDefault="0066183D">
            <w:pPr>
              <w:numPr>
                <w:ilvl w:val="0"/>
                <w:numId w:val="10"/>
              </w:numPr>
              <w:pBdr>
                <w:top w:val="nil"/>
                <w:left w:val="nil"/>
                <w:bottom w:val="nil"/>
                <w:right w:val="nil"/>
                <w:between w:val="nil"/>
              </w:pBdr>
              <w:spacing w:after="160" w:line="276" w:lineRule="auto"/>
              <w:ind w:left="322" w:hanging="322"/>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 iniciativa del Fiscal o del imputado, el Juez de la Investigación Preparatoria </w:t>
            </w:r>
            <w:r>
              <w:rPr>
                <w:rFonts w:ascii="Times New Roman" w:eastAsia="Times New Roman" w:hAnsi="Times New Roman" w:cs="Times New Roman"/>
                <w:b/>
                <w:color w:val="000000"/>
                <w:sz w:val="16"/>
                <w:szCs w:val="16"/>
                <w:u w:val="single"/>
              </w:rPr>
              <w:t>dispondrá una vez expedida la Disposición Fiscal de Formalización y continuación de la investigación preparatoria y hasta antes de la expedición de la Disposición Fiscal de Conclusión de la investigación preparatoria,</w:t>
            </w:r>
            <w:r>
              <w:rPr>
                <w:rFonts w:ascii="Times New Roman" w:eastAsia="Times New Roman" w:hAnsi="Times New Roman" w:cs="Times New Roman"/>
                <w:color w:val="000000"/>
                <w:sz w:val="16"/>
                <w:szCs w:val="16"/>
              </w:rPr>
              <w:t xml:space="preserve"> pero por una sola vez, la celebración de una audiencia de terminación anticipada, de carácter privada. Su celebración no impide la continuación del proceso. Se formará, al respecto, cuaderno aparte…</w:t>
            </w:r>
          </w:p>
          <w:p w:rsidR="009609BF" w:rsidRDefault="009609BF">
            <w:pPr>
              <w:spacing w:line="276" w:lineRule="auto"/>
              <w:jc w:val="both"/>
              <w:rPr>
                <w:rFonts w:ascii="Times New Roman" w:eastAsia="Times New Roman" w:hAnsi="Times New Roman" w:cs="Times New Roman"/>
                <w:color w:val="000000"/>
                <w:sz w:val="20"/>
                <w:szCs w:val="20"/>
              </w:rPr>
            </w:pPr>
          </w:p>
        </w:tc>
      </w:tr>
    </w:tbl>
    <w:p w:rsidR="009609BF" w:rsidRDefault="009609BF">
      <w:pPr>
        <w:spacing w:after="0" w:line="276" w:lineRule="auto"/>
        <w:ind w:firstLine="567"/>
        <w:jc w:val="center"/>
        <w:rPr>
          <w:rFonts w:ascii="Times New Roman" w:eastAsia="Times New Roman" w:hAnsi="Times New Roman" w:cs="Times New Roman"/>
          <w:color w:val="000000"/>
          <w:sz w:val="8"/>
          <w:szCs w:val="8"/>
        </w:rPr>
      </w:pPr>
    </w:p>
    <w:p w:rsidR="009609BF" w:rsidRDefault="0066183D">
      <w:pPr>
        <w:spacing w:after="0" w:line="276" w:lineRule="auto"/>
        <w:ind w:firstLine="5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Fuente: Elaboración propia.</w:t>
      </w:r>
    </w:p>
    <w:p w:rsidR="009609BF" w:rsidRDefault="009609BF">
      <w:pPr>
        <w:spacing w:after="0" w:line="276" w:lineRule="auto"/>
        <w:ind w:firstLine="567"/>
        <w:jc w:val="both"/>
        <w:rPr>
          <w:rFonts w:ascii="Times New Roman" w:eastAsia="Times New Roman" w:hAnsi="Times New Roman" w:cs="Times New Roman"/>
          <w:color w:val="000000"/>
          <w:sz w:val="24"/>
          <w:szCs w:val="24"/>
        </w:rPr>
      </w:pPr>
    </w:p>
    <w:p w:rsidR="009609BF" w:rsidRDefault="0066183D">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propuesta de reforma legislativa tiene como sustento lo señalado en el C.P.P.M.I. 1989, el cual es reconocido por la Corte Suprema de Justicia de la República, como fuente de inspiración de nuestro N.C.P.P. 2004; así como en el tratamiento histórico que ha tenido en nuestra legislación el proceso especial de T.A., el mismo que se corrobora con lo precisado por las leyes N.º 26320 de fecha 3 de mayo de 1994; y N.º 28008 de fecha 18 de junio de 2003, así como con lo establecido en el A.P. N.º 5-2009/CJ-116 “Proceso de Terminación Anticipada: Aspectos Esenciales” de fecha 13 de noviembre de 2009; y las opiniones profesores que he citado en el desarrollo del presente artículo. </w:t>
      </w:r>
    </w:p>
    <w:p w:rsidR="009609BF" w:rsidRDefault="009609BF">
      <w:pPr>
        <w:spacing w:after="0" w:line="276" w:lineRule="auto"/>
        <w:ind w:firstLine="567"/>
        <w:jc w:val="both"/>
        <w:rPr>
          <w:rFonts w:ascii="Times New Roman" w:eastAsia="Times New Roman" w:hAnsi="Times New Roman" w:cs="Times New Roman"/>
          <w:color w:val="000000"/>
          <w:sz w:val="24"/>
          <w:szCs w:val="24"/>
        </w:rPr>
      </w:pPr>
    </w:p>
    <w:p w:rsidR="009609BF" w:rsidRDefault="009609BF">
      <w:pPr>
        <w:spacing w:after="0" w:line="276" w:lineRule="auto"/>
        <w:ind w:firstLine="567"/>
        <w:jc w:val="both"/>
        <w:rPr>
          <w:rFonts w:ascii="Times New Roman" w:eastAsia="Times New Roman" w:hAnsi="Times New Roman" w:cs="Times New Roman"/>
          <w:color w:val="000000"/>
          <w:sz w:val="24"/>
          <w:szCs w:val="24"/>
        </w:rPr>
      </w:pPr>
    </w:p>
    <w:p w:rsidR="009609BF" w:rsidRDefault="0066183D">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 </w:t>
      </w:r>
      <w:proofErr w:type="gramStart"/>
      <w:r>
        <w:rPr>
          <w:rFonts w:ascii="Times New Roman" w:eastAsia="Times New Roman" w:hAnsi="Times New Roman" w:cs="Times New Roman"/>
          <w:b/>
          <w:sz w:val="28"/>
          <w:szCs w:val="28"/>
        </w:rPr>
        <w:t>Conclusiones.-</w:t>
      </w:r>
      <w:proofErr w:type="gramEnd"/>
      <w:r>
        <w:rPr>
          <w:rFonts w:ascii="Times New Roman" w:eastAsia="Times New Roman" w:hAnsi="Times New Roman" w:cs="Times New Roman"/>
          <w:b/>
          <w:sz w:val="28"/>
          <w:szCs w:val="28"/>
        </w:rPr>
        <w:t xml:space="preserve"> </w:t>
      </w:r>
    </w:p>
    <w:p w:rsidR="009609BF" w:rsidRDefault="009609BF">
      <w:pPr>
        <w:spacing w:after="0" w:line="276" w:lineRule="auto"/>
        <w:jc w:val="both"/>
        <w:rPr>
          <w:rFonts w:ascii="Times New Roman" w:eastAsia="Times New Roman" w:hAnsi="Times New Roman" w:cs="Times New Roman"/>
          <w:b/>
          <w:sz w:val="24"/>
          <w:szCs w:val="24"/>
        </w:rPr>
      </w:pPr>
    </w:p>
    <w:p w:rsidR="009609BF" w:rsidRDefault="0066183D">
      <w:pPr>
        <w:numPr>
          <w:ilvl w:val="0"/>
          <w:numId w:val="5"/>
        </w:numPr>
        <w:pBdr>
          <w:top w:val="nil"/>
          <w:left w:val="nil"/>
          <w:bottom w:val="nil"/>
          <w:right w:val="nil"/>
          <w:between w:val="nil"/>
        </w:pBdr>
        <w:spacing w:after="0" w:line="276" w:lineRule="auto"/>
        <w:ind w:left="567" w:hanging="567"/>
        <w:contextualSpacing/>
        <w:jc w:val="both"/>
        <w:rPr>
          <w:color w:val="000000"/>
          <w:sz w:val="24"/>
          <w:szCs w:val="24"/>
        </w:rPr>
      </w:pPr>
      <w:r>
        <w:rPr>
          <w:rFonts w:ascii="Times New Roman" w:eastAsia="Times New Roman" w:hAnsi="Times New Roman" w:cs="Times New Roman"/>
          <w:color w:val="000000"/>
          <w:sz w:val="24"/>
          <w:szCs w:val="24"/>
        </w:rPr>
        <w:lastRenderedPageBreak/>
        <w:t xml:space="preserve">El Nuevo Código Procesal Penal de 2004, instaura en nuestro país un sistema procesal de corte acusatorio con rasgos adversariales, el cual regula la aplicación de un proceso penal común y de siete procesos especiales, dentro de los cuales se encuentra el de Terminación Anticipada. </w:t>
      </w:r>
    </w:p>
    <w:p w:rsidR="009609BF" w:rsidRDefault="009609BF">
      <w:pPr>
        <w:pBdr>
          <w:top w:val="nil"/>
          <w:left w:val="nil"/>
          <w:bottom w:val="nil"/>
          <w:right w:val="nil"/>
          <w:between w:val="nil"/>
        </w:pBdr>
        <w:spacing w:after="0" w:line="276" w:lineRule="auto"/>
        <w:ind w:left="567" w:hanging="720"/>
        <w:jc w:val="both"/>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spacing w:after="0" w:line="276" w:lineRule="auto"/>
        <w:ind w:left="567" w:hanging="567"/>
        <w:contextualSpacing/>
        <w:jc w:val="both"/>
        <w:rPr>
          <w:color w:val="000000"/>
          <w:sz w:val="24"/>
          <w:szCs w:val="24"/>
        </w:rPr>
      </w:pPr>
      <w:r>
        <w:rPr>
          <w:rFonts w:ascii="Times New Roman" w:eastAsia="Times New Roman" w:hAnsi="Times New Roman" w:cs="Times New Roman"/>
          <w:color w:val="000000"/>
          <w:sz w:val="24"/>
          <w:szCs w:val="24"/>
        </w:rPr>
        <w:t>El proceso penal común, se encuentra estructurado en tres etapas, la primera se denominada Investigación Preparatoria -se encuentra subdividida en investigación o diligencias preliminares e investigación preparatoria propiamente dicha- la segunda es la Etapa Intermedia y la final etapa final es el Juzgamiento, la primera etapa se encuentra bajo la dirección del Ministerio Público, mientras que las restantes a cargo del Poder Judicial.</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spacing w:after="0" w:line="276" w:lineRule="auto"/>
        <w:ind w:left="567" w:hanging="567"/>
        <w:contextualSpacing/>
        <w:jc w:val="both"/>
        <w:rPr>
          <w:color w:val="000000"/>
          <w:sz w:val="24"/>
          <w:szCs w:val="24"/>
        </w:rPr>
      </w:pPr>
      <w:r>
        <w:rPr>
          <w:rFonts w:ascii="Times New Roman" w:eastAsia="Times New Roman" w:hAnsi="Times New Roman" w:cs="Times New Roman"/>
          <w:color w:val="000000"/>
          <w:sz w:val="24"/>
          <w:szCs w:val="24"/>
        </w:rPr>
        <w:t xml:space="preserve">Cuando el Nuevo Código Procesal Penal de 2004, menciona formulación de la Acusación Fiscal o Requerimiento Acusatorio, se refiere a la presentación del escrito que la contiene, de conformidad con el artículo 349 del mencionado cuerpo normativo. </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spacing w:after="0" w:line="276" w:lineRule="auto"/>
        <w:ind w:left="567" w:hanging="567"/>
        <w:contextualSpacing/>
        <w:jc w:val="both"/>
        <w:rPr>
          <w:color w:val="000000"/>
          <w:sz w:val="24"/>
          <w:szCs w:val="24"/>
        </w:rPr>
      </w:pPr>
      <w:r>
        <w:rPr>
          <w:rFonts w:ascii="Times New Roman" w:eastAsia="Times New Roman" w:hAnsi="Times New Roman" w:cs="Times New Roman"/>
          <w:color w:val="000000"/>
          <w:sz w:val="24"/>
          <w:szCs w:val="24"/>
        </w:rPr>
        <w:t>El Nuevo Código Procesal Penal de 2004, señala en el inciso 1 de su artículo 468 que el proceso especial de Terminación Anticipada, puede incoarse desde emitida la Disposición Fiscal de Formalización y Continuación de la Investigación Preparatoria, hasta la formulación de la Acusación Fiscal o Requerimiento Acusatorio.</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spacing w:after="0" w:line="276" w:lineRule="auto"/>
        <w:ind w:left="567" w:hanging="567"/>
        <w:contextualSpacing/>
        <w:jc w:val="both"/>
        <w:rPr>
          <w:color w:val="000000"/>
          <w:sz w:val="24"/>
          <w:szCs w:val="24"/>
        </w:rPr>
      </w:pPr>
      <w:r>
        <w:rPr>
          <w:rFonts w:ascii="Times New Roman" w:eastAsia="Times New Roman" w:hAnsi="Times New Roman" w:cs="Times New Roman"/>
          <w:color w:val="000000"/>
          <w:sz w:val="24"/>
          <w:szCs w:val="24"/>
        </w:rPr>
        <w:t>El Pleno Jurisdiccional Distrital en Materia Penal de la Corte Superior de Justicia de Ancash, celebrado el día 19 de octubre de 2018, se aleja de la doctrina legal establecida por la Corte Suprema de Justicia de la República a través del Acuerdo Plenario N.º 5-2009/CJ-116 “Proceso de Terminación Anticipada: Aspectos Esenciales”, sin dar buenas y mejores razones para ello.</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spacing w:after="0" w:line="276" w:lineRule="auto"/>
        <w:ind w:left="567" w:hanging="567"/>
        <w:contextualSpacing/>
        <w:jc w:val="both"/>
        <w:rPr>
          <w:color w:val="000000"/>
          <w:sz w:val="24"/>
          <w:szCs w:val="24"/>
        </w:rPr>
      </w:pPr>
      <w:r>
        <w:rPr>
          <w:rFonts w:ascii="Times New Roman" w:eastAsia="Times New Roman" w:hAnsi="Times New Roman" w:cs="Times New Roman"/>
          <w:color w:val="000000"/>
          <w:sz w:val="24"/>
          <w:szCs w:val="24"/>
        </w:rPr>
        <w:t>El permitir la incoación del proceso especial de Terminación Anticipada durante la Etapa Intermedia, no resulta un medio eficiente para combatir la sobrecarga laboral que aqueja al sistema de administración de justicia de nuestro país.</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spacing w:after="0" w:line="276" w:lineRule="auto"/>
        <w:ind w:left="567" w:hanging="567"/>
        <w:contextualSpacing/>
        <w:jc w:val="both"/>
        <w:rPr>
          <w:color w:val="000000"/>
          <w:sz w:val="24"/>
          <w:szCs w:val="24"/>
        </w:rPr>
      </w:pPr>
      <w:r>
        <w:rPr>
          <w:rFonts w:ascii="Times New Roman" w:eastAsia="Times New Roman" w:hAnsi="Times New Roman" w:cs="Times New Roman"/>
          <w:color w:val="000000"/>
          <w:sz w:val="24"/>
          <w:szCs w:val="24"/>
        </w:rPr>
        <w:t xml:space="preserve">Urge realizar una reforma legislativa del inciso 1 del artículo 468 del Nuevo Código Procesal Penal de 2004, a fin que se </w:t>
      </w:r>
      <w:proofErr w:type="spellStart"/>
      <w:r>
        <w:rPr>
          <w:rFonts w:ascii="Times New Roman" w:eastAsia="Times New Roman" w:hAnsi="Times New Roman" w:cs="Times New Roman"/>
          <w:color w:val="000000"/>
          <w:sz w:val="24"/>
          <w:szCs w:val="24"/>
        </w:rPr>
        <w:t>específique</w:t>
      </w:r>
      <w:proofErr w:type="spellEnd"/>
      <w:r>
        <w:rPr>
          <w:rFonts w:ascii="Times New Roman" w:eastAsia="Times New Roman" w:hAnsi="Times New Roman" w:cs="Times New Roman"/>
          <w:color w:val="000000"/>
          <w:sz w:val="24"/>
          <w:szCs w:val="24"/>
        </w:rPr>
        <w:t xml:space="preserve"> que el proceso especial de Terminación Anticipada solo podrá incoarse durante la Investigación Preparatoria, es decir, desde la emisión de la Disposición de Formalización y Continuación de la investigación preparatoria, hasta previo a la expedición de la Disposición de Conclusión de la investigación preparatoria. </w:t>
      </w:r>
    </w:p>
    <w:p w:rsidR="009609BF" w:rsidRDefault="0066183D">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8. </w:t>
      </w:r>
      <w:proofErr w:type="gramStart"/>
      <w:r>
        <w:rPr>
          <w:rFonts w:ascii="Times New Roman" w:eastAsia="Times New Roman" w:hAnsi="Times New Roman" w:cs="Times New Roman"/>
          <w:b/>
          <w:sz w:val="28"/>
          <w:szCs w:val="28"/>
        </w:rPr>
        <w:t>Bibliografía.-</w:t>
      </w:r>
      <w:proofErr w:type="gramEnd"/>
      <w:r>
        <w:rPr>
          <w:rFonts w:ascii="Times New Roman" w:eastAsia="Times New Roman" w:hAnsi="Times New Roman" w:cs="Times New Roman"/>
          <w:b/>
          <w:sz w:val="28"/>
          <w:szCs w:val="28"/>
        </w:rPr>
        <w:t xml:space="preserve"> </w:t>
      </w:r>
    </w:p>
    <w:p w:rsidR="009609BF" w:rsidRDefault="009609BF">
      <w:pPr>
        <w:pBdr>
          <w:top w:val="nil"/>
          <w:left w:val="nil"/>
          <w:bottom w:val="nil"/>
          <w:right w:val="nil"/>
          <w:between w:val="nil"/>
        </w:pBdr>
        <w:tabs>
          <w:tab w:val="left" w:pos="567"/>
        </w:tabs>
        <w:spacing w:after="0" w:line="240" w:lineRule="auto"/>
        <w:ind w:left="851" w:hanging="720"/>
        <w:jc w:val="both"/>
        <w:rPr>
          <w:rFonts w:ascii="Times New Roman" w:eastAsia="Times New Roman" w:hAnsi="Times New Roman" w:cs="Times New Roman"/>
          <w:color w:val="FF0000"/>
          <w:sz w:val="24"/>
          <w:szCs w:val="24"/>
        </w:rPr>
      </w:pPr>
    </w:p>
    <w:p w:rsidR="009609BF" w:rsidRDefault="0066183D">
      <w:pPr>
        <w:numPr>
          <w:ilvl w:val="0"/>
          <w:numId w:val="7"/>
        </w:numPr>
        <w:pBdr>
          <w:top w:val="nil"/>
          <w:left w:val="nil"/>
          <w:bottom w:val="nil"/>
          <w:right w:val="nil"/>
          <w:between w:val="nil"/>
        </w:pBdr>
        <w:tabs>
          <w:tab w:val="left" w:pos="567"/>
        </w:tabs>
        <w:spacing w:after="0" w:line="240"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ARBULÚ MARTÍNEZ, V. (2014). </w:t>
      </w:r>
      <w:r>
        <w:rPr>
          <w:rFonts w:ascii="Times New Roman" w:eastAsia="Times New Roman" w:hAnsi="Times New Roman" w:cs="Times New Roman"/>
          <w:i/>
          <w:color w:val="000000"/>
          <w:sz w:val="24"/>
          <w:szCs w:val="24"/>
        </w:rPr>
        <w:t>La Investigación Preparatoria en el Nuevo Proceso Penal.</w:t>
      </w:r>
      <w:r>
        <w:rPr>
          <w:rFonts w:ascii="Times New Roman" w:eastAsia="Times New Roman" w:hAnsi="Times New Roman" w:cs="Times New Roman"/>
          <w:color w:val="000000"/>
          <w:sz w:val="24"/>
          <w:szCs w:val="24"/>
        </w:rPr>
        <w:t xml:space="preserve"> Lima: Pacífico Editores.  </w:t>
      </w:r>
    </w:p>
    <w:p w:rsidR="009609BF" w:rsidRDefault="009609BF">
      <w:pPr>
        <w:pBdr>
          <w:top w:val="nil"/>
          <w:left w:val="nil"/>
          <w:bottom w:val="nil"/>
          <w:right w:val="nil"/>
          <w:between w:val="nil"/>
        </w:pBdr>
        <w:tabs>
          <w:tab w:val="left" w:pos="567"/>
        </w:tabs>
        <w:spacing w:after="0" w:line="240" w:lineRule="auto"/>
        <w:ind w:left="851" w:hanging="720"/>
        <w:jc w:val="both"/>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40"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ASENCIO MELLADO, J. (2016). </w:t>
      </w:r>
      <w:r>
        <w:rPr>
          <w:rFonts w:ascii="Times New Roman" w:eastAsia="Times New Roman" w:hAnsi="Times New Roman" w:cs="Times New Roman"/>
          <w:i/>
          <w:color w:val="000000"/>
          <w:sz w:val="24"/>
          <w:szCs w:val="24"/>
        </w:rPr>
        <w:t>Derecho Procesal Penal. Estudios Fundamentales.</w:t>
      </w:r>
      <w:r>
        <w:rPr>
          <w:rFonts w:ascii="Times New Roman" w:eastAsia="Times New Roman" w:hAnsi="Times New Roman" w:cs="Times New Roman"/>
          <w:color w:val="000000"/>
          <w:sz w:val="24"/>
          <w:szCs w:val="24"/>
        </w:rPr>
        <w:t xml:space="preserve"> Lima: Instituto Peruano de Criminología y Ciencias Penales – INPECCP.</w:t>
      </w:r>
    </w:p>
    <w:p w:rsidR="009609BF" w:rsidRDefault="009609BF">
      <w:pPr>
        <w:pBdr>
          <w:top w:val="nil"/>
          <w:left w:val="nil"/>
          <w:bottom w:val="nil"/>
          <w:right w:val="nil"/>
          <w:between w:val="nil"/>
        </w:pBdr>
        <w:tabs>
          <w:tab w:val="left" w:pos="567"/>
        </w:tabs>
        <w:spacing w:after="0" w:line="240" w:lineRule="auto"/>
        <w:ind w:left="851" w:hanging="720"/>
        <w:jc w:val="both"/>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40"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CÓDIGO PENAL (Decreto Legislativo N.º 635) (1991). </w:t>
      </w:r>
      <w:hyperlink r:id="rId7">
        <w:r>
          <w:rPr>
            <w:rFonts w:ascii="Times New Roman" w:eastAsia="Times New Roman" w:hAnsi="Times New Roman" w:cs="Times New Roman"/>
            <w:color w:val="000000"/>
            <w:sz w:val="24"/>
            <w:szCs w:val="24"/>
            <w:u w:val="single"/>
          </w:rPr>
          <w:t>https://spij.minjus.gob.pe/spij-ext-web/detallenorma/H682692</w:t>
        </w:r>
      </w:hyperlink>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40"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CÓDIGO PROCESAL PENAL TIPO PARA IBEROAMÉRICA [C.P.P.M.I.] (1989</w:t>
      </w:r>
      <w:proofErr w:type="gramStart"/>
      <w:r>
        <w:rPr>
          <w:rFonts w:ascii="Times New Roman" w:eastAsia="Times New Roman" w:hAnsi="Times New Roman" w:cs="Times New Roman"/>
          <w:color w:val="000000"/>
          <w:sz w:val="24"/>
          <w:szCs w:val="24"/>
        </w:rPr>
        <w:t>).https://biblioteca.cejamericas.org/bitstream/handle/2015/4215/textocodigoprocesalpenal.pdf?sequence</w:t>
      </w:r>
      <w:proofErr w:type="gramEnd"/>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40"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CUBAS VILLANUEVA, V. (2009). </w:t>
      </w:r>
      <w:r>
        <w:rPr>
          <w:rFonts w:ascii="Times New Roman" w:eastAsia="Times New Roman" w:hAnsi="Times New Roman" w:cs="Times New Roman"/>
          <w:i/>
          <w:color w:val="000000"/>
          <w:sz w:val="24"/>
          <w:szCs w:val="24"/>
        </w:rPr>
        <w:t>El nuevo proceso penal peruano. Teoría y práctica de su implementación.</w:t>
      </w:r>
      <w:r>
        <w:rPr>
          <w:rFonts w:ascii="Times New Roman" w:eastAsia="Times New Roman" w:hAnsi="Times New Roman" w:cs="Times New Roman"/>
          <w:color w:val="000000"/>
          <w:sz w:val="24"/>
          <w:szCs w:val="24"/>
        </w:rPr>
        <w:t xml:space="preserve"> Lima: Palestra Editores.  </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FF0000"/>
          <w:sz w:val="24"/>
          <w:szCs w:val="24"/>
        </w:rPr>
      </w:pPr>
    </w:p>
    <w:p w:rsidR="009609BF" w:rsidRDefault="0066183D">
      <w:pPr>
        <w:numPr>
          <w:ilvl w:val="0"/>
          <w:numId w:val="5"/>
        </w:numPr>
        <w:pBdr>
          <w:top w:val="nil"/>
          <w:left w:val="nil"/>
          <w:bottom w:val="nil"/>
          <w:right w:val="nil"/>
          <w:between w:val="nil"/>
        </w:pBdr>
        <w:tabs>
          <w:tab w:val="left" w:pos="567"/>
        </w:tabs>
        <w:spacing w:after="0" w:line="276"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LLOBET RODRÍGUEZ, J (1993). </w:t>
      </w:r>
      <w:r>
        <w:rPr>
          <w:rFonts w:ascii="Times New Roman" w:eastAsia="Times New Roman" w:hAnsi="Times New Roman" w:cs="Times New Roman"/>
          <w:i/>
          <w:color w:val="000000"/>
          <w:sz w:val="24"/>
          <w:szCs w:val="24"/>
        </w:rPr>
        <w:t>La Reforma Procesal Penal (un análisis comparativo latinoamericano-alemán).</w:t>
      </w:r>
      <w:r>
        <w:rPr>
          <w:rFonts w:ascii="Times New Roman" w:eastAsia="Times New Roman" w:hAnsi="Times New Roman" w:cs="Times New Roman"/>
          <w:color w:val="000000"/>
          <w:sz w:val="24"/>
          <w:szCs w:val="24"/>
        </w:rPr>
        <w:t xml:space="preserve"> Heredia: Escuela Judicial – Corte Suprema de Justicia de la República. </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FF0000"/>
          <w:sz w:val="24"/>
          <w:szCs w:val="24"/>
        </w:rPr>
      </w:pPr>
    </w:p>
    <w:p w:rsidR="009609BF" w:rsidRDefault="0066183D">
      <w:pPr>
        <w:numPr>
          <w:ilvl w:val="0"/>
          <w:numId w:val="5"/>
        </w:numPr>
        <w:pBdr>
          <w:top w:val="nil"/>
          <w:left w:val="nil"/>
          <w:bottom w:val="nil"/>
          <w:right w:val="nil"/>
          <w:between w:val="nil"/>
        </w:pBdr>
        <w:tabs>
          <w:tab w:val="left" w:pos="567"/>
        </w:tabs>
        <w:spacing w:after="0" w:line="276"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NEYRA FLORES, J. (2010). </w:t>
      </w:r>
      <w:r>
        <w:rPr>
          <w:rFonts w:ascii="Times New Roman" w:eastAsia="Times New Roman" w:hAnsi="Times New Roman" w:cs="Times New Roman"/>
          <w:i/>
          <w:color w:val="000000"/>
          <w:sz w:val="24"/>
          <w:szCs w:val="24"/>
        </w:rPr>
        <w:t>Manual del Nuevo Proceso Penal &amp; de Litigación Oral.</w:t>
      </w:r>
      <w:r>
        <w:rPr>
          <w:rFonts w:ascii="Times New Roman" w:eastAsia="Times New Roman" w:hAnsi="Times New Roman" w:cs="Times New Roman"/>
          <w:color w:val="000000"/>
          <w:sz w:val="24"/>
          <w:szCs w:val="24"/>
        </w:rPr>
        <w:t xml:space="preserve"> Lima: IDEMSA.</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40"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NUEVO CÓDIGO PROCESAL PENAL [N.C.P.P.]. (2004). https://spij.minjus.gob.pe/spij-ext-web/detallenorma/H682695</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76"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PEÑA CABRERA FREYRE, A. (2016). </w:t>
      </w:r>
      <w:r>
        <w:rPr>
          <w:rFonts w:ascii="Times New Roman" w:eastAsia="Times New Roman" w:hAnsi="Times New Roman" w:cs="Times New Roman"/>
          <w:i/>
          <w:color w:val="000000"/>
          <w:sz w:val="24"/>
          <w:szCs w:val="24"/>
        </w:rPr>
        <w:t>El Ministerio Público en el Sistema Acusatorio</w:t>
      </w:r>
      <w:r>
        <w:rPr>
          <w:rFonts w:ascii="Times New Roman" w:eastAsia="Times New Roman" w:hAnsi="Times New Roman" w:cs="Times New Roman"/>
          <w:color w:val="000000"/>
          <w:sz w:val="24"/>
          <w:szCs w:val="24"/>
        </w:rPr>
        <w:t xml:space="preserve">. Lima: Pacífico Editores. </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FF0000"/>
          <w:sz w:val="24"/>
          <w:szCs w:val="24"/>
        </w:rPr>
      </w:pPr>
    </w:p>
    <w:p w:rsidR="009609BF" w:rsidRDefault="0066183D">
      <w:pPr>
        <w:numPr>
          <w:ilvl w:val="0"/>
          <w:numId w:val="5"/>
        </w:numPr>
        <w:pBdr>
          <w:top w:val="nil"/>
          <w:left w:val="nil"/>
          <w:bottom w:val="nil"/>
          <w:right w:val="nil"/>
          <w:between w:val="nil"/>
        </w:pBdr>
        <w:tabs>
          <w:tab w:val="left" w:pos="567"/>
        </w:tabs>
        <w:spacing w:after="0" w:line="240" w:lineRule="auto"/>
        <w:ind w:left="851" w:hanging="851"/>
        <w:contextualSpacing/>
        <w:jc w:val="both"/>
        <w:rPr>
          <w:i/>
          <w:color w:val="000000"/>
          <w:sz w:val="24"/>
          <w:szCs w:val="24"/>
        </w:rPr>
      </w:pPr>
      <w:r>
        <w:rPr>
          <w:rFonts w:ascii="Times New Roman" w:eastAsia="Times New Roman" w:hAnsi="Times New Roman" w:cs="Times New Roman"/>
          <w:color w:val="000000"/>
          <w:sz w:val="24"/>
          <w:szCs w:val="24"/>
        </w:rPr>
        <w:t xml:space="preserve">PLENO JURISDICCIONAL DISTRITAL EN MATERIAL PENAL DE LA CORTE SUPERIOR DE JUSTICIA DE ANCASH (2018). </w:t>
      </w:r>
      <w:hyperlink r:id="rId8">
        <w:r>
          <w:rPr>
            <w:rFonts w:ascii="Times New Roman" w:eastAsia="Times New Roman" w:hAnsi="Times New Roman" w:cs="Times New Roman"/>
            <w:color w:val="0563C1"/>
            <w:sz w:val="24"/>
            <w:szCs w:val="24"/>
            <w:u w:val="single"/>
          </w:rPr>
          <w:t>https://www.pj.gob.pe/wps/wcm/connect/1c89478047f610059f4a9f1612471008/Escaneado+en+impresora+multifunci%C3%B3n+Xerox.pdf?MOD=AJPERES&amp;CACHEID=1c89478047f610059f4a9f1612471008</w:t>
        </w:r>
      </w:hyperlink>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40" w:lineRule="auto"/>
        <w:ind w:left="851" w:hanging="851"/>
        <w:contextualSpacing/>
        <w:jc w:val="both"/>
        <w:rPr>
          <w:i/>
          <w:color w:val="000000"/>
          <w:sz w:val="24"/>
          <w:szCs w:val="24"/>
        </w:rPr>
      </w:pPr>
      <w:r>
        <w:rPr>
          <w:rFonts w:ascii="Times New Roman" w:eastAsia="Times New Roman" w:hAnsi="Times New Roman" w:cs="Times New Roman"/>
          <w:color w:val="000000"/>
          <w:sz w:val="24"/>
          <w:szCs w:val="24"/>
        </w:rPr>
        <w:t xml:space="preserve">PRÍNCIPE TRUJILLO, H. (2011). </w:t>
      </w:r>
      <w:r>
        <w:rPr>
          <w:rFonts w:ascii="Times New Roman" w:eastAsia="Times New Roman" w:hAnsi="Times New Roman" w:cs="Times New Roman"/>
          <w:i/>
          <w:color w:val="000000"/>
          <w:sz w:val="24"/>
          <w:szCs w:val="24"/>
        </w:rPr>
        <w:t>La etapa intermedia en el proceso penal peruano: su importancia en el Código Procesal Penal de 2004 y su novedosa incidencia en el Código de Procedimientos Penales (</w:t>
      </w:r>
      <w:proofErr w:type="spellStart"/>
      <w:r>
        <w:rPr>
          <w:rFonts w:ascii="Times New Roman" w:eastAsia="Times New Roman" w:hAnsi="Times New Roman" w:cs="Times New Roman"/>
          <w:i/>
          <w:color w:val="000000"/>
          <w:sz w:val="24"/>
          <w:szCs w:val="24"/>
        </w:rPr>
        <w:t>CdePP</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i/>
          <w:color w:val="000000"/>
          <w:sz w:val="24"/>
          <w:szCs w:val="24"/>
        </w:rPr>
        <w:t xml:space="preserve">La reforma del Derecho Penal y del Derecho Procesal Penal en el Perú – Anuario de Derecho Penal 2009. </w:t>
      </w:r>
      <w:r>
        <w:rPr>
          <w:rFonts w:ascii="Times New Roman" w:eastAsia="Times New Roman" w:hAnsi="Times New Roman" w:cs="Times New Roman"/>
          <w:color w:val="000000"/>
          <w:sz w:val="24"/>
          <w:szCs w:val="24"/>
        </w:rPr>
        <w:t xml:space="preserve">(pp. 235-254). Lima: Pontificia Universidad Católica del Perú – PUCP. </w:t>
      </w:r>
    </w:p>
    <w:p w:rsidR="009609BF" w:rsidRDefault="009609BF">
      <w:pPr>
        <w:pBdr>
          <w:top w:val="nil"/>
          <w:left w:val="nil"/>
          <w:bottom w:val="nil"/>
          <w:right w:val="nil"/>
          <w:between w:val="nil"/>
        </w:pBdr>
        <w:spacing w:after="0" w:line="276" w:lineRule="auto"/>
        <w:ind w:left="567" w:hanging="720"/>
        <w:jc w:val="both"/>
        <w:rPr>
          <w:rFonts w:ascii="Times New Roman" w:eastAsia="Times New Roman" w:hAnsi="Times New Roman" w:cs="Times New Roman"/>
          <w:b/>
          <w:color w:val="FF0000"/>
          <w:sz w:val="24"/>
          <w:szCs w:val="24"/>
        </w:rPr>
      </w:pPr>
    </w:p>
    <w:p w:rsidR="009609BF" w:rsidRDefault="0066183D">
      <w:pPr>
        <w:numPr>
          <w:ilvl w:val="0"/>
          <w:numId w:val="5"/>
        </w:numPr>
        <w:pBdr>
          <w:top w:val="nil"/>
          <w:left w:val="nil"/>
          <w:bottom w:val="nil"/>
          <w:right w:val="nil"/>
          <w:between w:val="nil"/>
        </w:pBdr>
        <w:tabs>
          <w:tab w:val="left" w:pos="567"/>
        </w:tabs>
        <w:spacing w:after="0" w:line="276"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REYNA ALFARO, L. (2009). </w:t>
      </w:r>
      <w:r>
        <w:rPr>
          <w:rFonts w:ascii="Times New Roman" w:eastAsia="Times New Roman" w:hAnsi="Times New Roman" w:cs="Times New Roman"/>
          <w:i/>
          <w:color w:val="000000"/>
          <w:sz w:val="24"/>
          <w:szCs w:val="24"/>
        </w:rPr>
        <w:t>La Terminación Anticipada en el Código Procesal Penal.</w:t>
      </w:r>
      <w:r>
        <w:rPr>
          <w:rFonts w:ascii="Times New Roman" w:eastAsia="Times New Roman" w:hAnsi="Times New Roman" w:cs="Times New Roman"/>
          <w:color w:val="000000"/>
          <w:sz w:val="24"/>
          <w:szCs w:val="24"/>
        </w:rPr>
        <w:t xml:space="preserve">  Lima: Jurista Editores. </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76"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REYNA ALFARO, L. (2015). </w:t>
      </w:r>
      <w:r>
        <w:rPr>
          <w:rFonts w:ascii="Times New Roman" w:eastAsia="Times New Roman" w:hAnsi="Times New Roman" w:cs="Times New Roman"/>
          <w:i/>
          <w:color w:val="000000"/>
          <w:sz w:val="24"/>
          <w:szCs w:val="24"/>
        </w:rPr>
        <w:t>Manual de Derecho Procesal Penal</w:t>
      </w:r>
      <w:r>
        <w:rPr>
          <w:rFonts w:ascii="Times New Roman" w:eastAsia="Times New Roman" w:hAnsi="Times New Roman" w:cs="Times New Roman"/>
          <w:color w:val="000000"/>
          <w:sz w:val="24"/>
          <w:szCs w:val="24"/>
        </w:rPr>
        <w:t>. Lima: Pacífico Editores.</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76"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SÁNCHEZ VELARDE, P. (2009). </w:t>
      </w:r>
      <w:r>
        <w:rPr>
          <w:rFonts w:ascii="Times New Roman" w:eastAsia="Times New Roman" w:hAnsi="Times New Roman" w:cs="Times New Roman"/>
          <w:i/>
          <w:color w:val="000000"/>
          <w:sz w:val="24"/>
          <w:szCs w:val="24"/>
        </w:rPr>
        <w:t>El Nuevo Proceso Penal.</w:t>
      </w:r>
      <w:r>
        <w:rPr>
          <w:rFonts w:ascii="Times New Roman" w:eastAsia="Times New Roman" w:hAnsi="Times New Roman" w:cs="Times New Roman"/>
          <w:color w:val="000000"/>
          <w:sz w:val="24"/>
          <w:szCs w:val="24"/>
        </w:rPr>
        <w:t xml:space="preserve"> Lima: IDEMSA. </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FF0000"/>
          <w:sz w:val="24"/>
          <w:szCs w:val="24"/>
        </w:rPr>
      </w:pPr>
    </w:p>
    <w:p w:rsidR="009609BF" w:rsidRDefault="0066183D">
      <w:pPr>
        <w:numPr>
          <w:ilvl w:val="0"/>
          <w:numId w:val="5"/>
        </w:numPr>
        <w:pBdr>
          <w:top w:val="nil"/>
          <w:left w:val="nil"/>
          <w:bottom w:val="nil"/>
          <w:right w:val="nil"/>
          <w:between w:val="nil"/>
        </w:pBdr>
        <w:tabs>
          <w:tab w:val="left" w:pos="567"/>
        </w:tabs>
        <w:spacing w:after="0" w:line="276"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SAN MARTIN CASTRO, C. (2015). </w:t>
      </w:r>
      <w:r>
        <w:rPr>
          <w:rFonts w:ascii="Times New Roman" w:eastAsia="Times New Roman" w:hAnsi="Times New Roman" w:cs="Times New Roman"/>
          <w:i/>
          <w:color w:val="000000"/>
          <w:sz w:val="24"/>
          <w:szCs w:val="24"/>
        </w:rPr>
        <w:t>Derecho Procesal Penal Lecciones. Conforme al Código Procesal Penal de 2004</w:t>
      </w:r>
      <w:r>
        <w:rPr>
          <w:rFonts w:ascii="Times New Roman" w:eastAsia="Times New Roman" w:hAnsi="Times New Roman" w:cs="Times New Roman"/>
          <w:color w:val="000000"/>
          <w:sz w:val="24"/>
          <w:szCs w:val="24"/>
        </w:rPr>
        <w:t xml:space="preserve">. Lima: Instituto Peruano de Criminología y Ciencias Penales – INPECCP. </w:t>
      </w:r>
    </w:p>
    <w:p w:rsidR="009609BF" w:rsidRDefault="009609BF">
      <w:pPr>
        <w:pBdr>
          <w:top w:val="nil"/>
          <w:left w:val="nil"/>
          <w:bottom w:val="nil"/>
          <w:right w:val="nil"/>
          <w:between w:val="nil"/>
        </w:pBdr>
        <w:spacing w:after="0"/>
        <w:ind w:left="720" w:hanging="720"/>
        <w:rPr>
          <w:rFonts w:ascii="Times New Roman" w:eastAsia="Times New Roman" w:hAnsi="Times New Roman" w:cs="Times New Roman"/>
          <w:color w:val="000000"/>
          <w:sz w:val="24"/>
          <w:szCs w:val="24"/>
        </w:rPr>
      </w:pPr>
    </w:p>
    <w:p w:rsidR="009609BF" w:rsidRDefault="0066183D">
      <w:pPr>
        <w:numPr>
          <w:ilvl w:val="0"/>
          <w:numId w:val="5"/>
        </w:numPr>
        <w:pBdr>
          <w:top w:val="nil"/>
          <w:left w:val="nil"/>
          <w:bottom w:val="nil"/>
          <w:right w:val="nil"/>
          <w:between w:val="nil"/>
        </w:pBdr>
        <w:tabs>
          <w:tab w:val="left" w:pos="567"/>
        </w:tabs>
        <w:spacing w:after="0" w:line="276" w:lineRule="auto"/>
        <w:ind w:left="851" w:hanging="851"/>
        <w:contextualSpacing/>
        <w:jc w:val="both"/>
        <w:rPr>
          <w:color w:val="000000"/>
          <w:sz w:val="24"/>
          <w:szCs w:val="24"/>
        </w:rPr>
      </w:pPr>
      <w:r>
        <w:rPr>
          <w:rFonts w:ascii="Times New Roman" w:eastAsia="Times New Roman" w:hAnsi="Times New Roman" w:cs="Times New Roman"/>
          <w:color w:val="000000"/>
          <w:sz w:val="24"/>
          <w:szCs w:val="24"/>
        </w:rPr>
        <w:t xml:space="preserve">TERCER JUZGADO DE INVESTIGACIÓN PREPARATORIA DE TRUJILLO – CORTE SUPERIOR DE JUSTICIA DE LA LIBERTAD. (3 de mayo de 2012). Resolución Número Cuatro. [Taboada P.]. </w:t>
      </w:r>
      <w:hyperlink r:id="rId9">
        <w:r>
          <w:rPr>
            <w:rFonts w:ascii="Times New Roman" w:eastAsia="Times New Roman" w:hAnsi="Times New Roman" w:cs="Times New Roman"/>
            <w:color w:val="0563C1"/>
            <w:sz w:val="24"/>
            <w:szCs w:val="24"/>
            <w:u w:val="single"/>
          </w:rPr>
          <w:t>https://lpderecho.pe/existe-ningun-obstaculo-incoar-terminacion-anticipada-etapa-intermedia/</w:t>
        </w:r>
      </w:hyperlink>
    </w:p>
    <w:sectPr w:rsidR="009609BF">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067" w:rsidRDefault="001C4067">
      <w:pPr>
        <w:spacing w:after="0" w:line="240" w:lineRule="auto"/>
      </w:pPr>
      <w:r>
        <w:separator/>
      </w:r>
    </w:p>
  </w:endnote>
  <w:endnote w:type="continuationSeparator" w:id="0">
    <w:p w:rsidR="001C4067" w:rsidRDefault="001C4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83D" w:rsidRDefault="0066183D">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p>
  <w:p w:rsidR="0066183D" w:rsidRDefault="0066183D">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rsidR="0066183D" w:rsidRDefault="0066183D">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p>
  <w:p w:rsidR="0066183D" w:rsidRDefault="0066183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067" w:rsidRDefault="001C4067">
      <w:pPr>
        <w:spacing w:after="0" w:line="240" w:lineRule="auto"/>
      </w:pPr>
      <w:r>
        <w:separator/>
      </w:r>
    </w:p>
  </w:footnote>
  <w:footnote w:type="continuationSeparator" w:id="0">
    <w:p w:rsidR="001C4067" w:rsidRDefault="001C4067">
      <w:pPr>
        <w:spacing w:after="0" w:line="240" w:lineRule="auto"/>
      </w:pPr>
      <w:r>
        <w:continuationSeparator/>
      </w:r>
    </w:p>
  </w:footnote>
  <w:footnote w:id="1">
    <w:p w:rsidR="0066183D" w:rsidRDefault="0066183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Abogada por la Universidad Nacional Mayor de San Marcos. Estudios de maestría en Ciencias Penales por la Universidad San Martin de Porres y de maestría en Gestión Pública por la Universidad César Vallejo.  Fiscal Superior Titular en lo Penal de Lima.</w:t>
      </w:r>
    </w:p>
  </w:footnote>
  <w:footnote w:id="2">
    <w:p w:rsidR="0066183D" w:rsidRDefault="00661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Recuperado de: </w:t>
      </w:r>
      <w:hyperlink r:id="rId1">
        <w:r>
          <w:rPr>
            <w:rFonts w:ascii="Times New Roman" w:eastAsia="Times New Roman" w:hAnsi="Times New Roman" w:cs="Times New Roman"/>
            <w:color w:val="0563C1"/>
            <w:sz w:val="20"/>
            <w:szCs w:val="20"/>
            <w:u w:val="single"/>
          </w:rPr>
          <w:t>https://dle.rae.es/enunciar</w:t>
        </w:r>
      </w:hyperlink>
      <w:r>
        <w:rPr>
          <w:rFonts w:ascii="Times New Roman" w:eastAsia="Times New Roman" w:hAnsi="Times New Roman" w:cs="Times New Roman"/>
          <w:color w:val="000000"/>
          <w:sz w:val="20"/>
          <w:szCs w:val="20"/>
        </w:rPr>
        <w:t xml:space="preserve"> </w:t>
      </w:r>
    </w:p>
  </w:footnote>
  <w:footnote w:id="3">
    <w:p w:rsidR="0066183D" w:rsidRDefault="00661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Recuperado de: </w:t>
      </w:r>
      <w:hyperlink r:id="rId2">
        <w:r>
          <w:rPr>
            <w:rFonts w:ascii="Times New Roman" w:eastAsia="Times New Roman" w:hAnsi="Times New Roman" w:cs="Times New Roman"/>
            <w:color w:val="0563C1"/>
            <w:sz w:val="20"/>
            <w:szCs w:val="20"/>
            <w:u w:val="single"/>
          </w:rPr>
          <w:t>https://dle.rae.es/recetarm</w:t>
        </w:r>
      </w:hyperlink>
      <w:r>
        <w:rPr>
          <w:rFonts w:ascii="Times New Roman" w:eastAsia="Times New Roman" w:hAnsi="Times New Roman" w:cs="Times New Roman"/>
          <w:color w:val="000000"/>
          <w:sz w:val="20"/>
          <w:szCs w:val="20"/>
        </w:rPr>
        <w:t xml:space="preserve"> </w:t>
      </w:r>
    </w:p>
  </w:footnote>
  <w:footnote w:id="4">
    <w:p w:rsidR="0066183D" w:rsidRDefault="006618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Recuperado de: </w:t>
      </w:r>
      <w:hyperlink r:id="rId3">
        <w:r>
          <w:rPr>
            <w:rFonts w:ascii="Times New Roman" w:eastAsia="Times New Roman" w:hAnsi="Times New Roman" w:cs="Times New Roman"/>
            <w:color w:val="0563C1"/>
            <w:sz w:val="20"/>
            <w:szCs w:val="20"/>
            <w:u w:val="single"/>
          </w:rPr>
          <w:t>https://dle.rae.es/expresar</w:t>
        </w:r>
      </w:hyperlink>
      <w:r>
        <w:rPr>
          <w:rFonts w:ascii="Times New Roman" w:eastAsia="Times New Roman" w:hAnsi="Times New Roman" w:cs="Times New Roman"/>
          <w:color w:val="000000"/>
          <w:sz w:val="20"/>
          <w:szCs w:val="20"/>
        </w:rPr>
        <w:t xml:space="preserve"> </w:t>
      </w:r>
    </w:p>
  </w:footnote>
  <w:footnote w:id="5">
    <w:p w:rsidR="0066183D" w:rsidRDefault="0066183D">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Recuperado de: </w:t>
      </w:r>
      <w:hyperlink r:id="rId4">
        <w:r>
          <w:rPr>
            <w:rFonts w:ascii="Times New Roman" w:eastAsia="Times New Roman" w:hAnsi="Times New Roman" w:cs="Times New Roman"/>
            <w:color w:val="0563C1"/>
            <w:sz w:val="20"/>
            <w:szCs w:val="20"/>
            <w:u w:val="single"/>
          </w:rPr>
          <w:t>https://dle.rae.es/manifestar</w:t>
        </w:r>
      </w:hyperlink>
      <w:r>
        <w:rPr>
          <w:rFonts w:ascii="Times New Roman" w:eastAsia="Times New Roman" w:hAnsi="Times New Roman" w:cs="Times New Roman"/>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22EA3"/>
    <w:multiLevelType w:val="multilevel"/>
    <w:tmpl w:val="BAA6E9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91162C"/>
    <w:multiLevelType w:val="multilevel"/>
    <w:tmpl w:val="AB04412C"/>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5AB49A1"/>
    <w:multiLevelType w:val="multilevel"/>
    <w:tmpl w:val="F238C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A46319"/>
    <w:multiLevelType w:val="multilevel"/>
    <w:tmpl w:val="16261C10"/>
    <w:lvl w:ilvl="0">
      <w:start w:val="1"/>
      <w:numFmt w:val="lowerLetter"/>
      <w:lvlText w:val="%1)"/>
      <w:lvlJc w:val="left"/>
      <w:pPr>
        <w:ind w:left="1494" w:hanging="36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3DE70A20"/>
    <w:multiLevelType w:val="multilevel"/>
    <w:tmpl w:val="4038F380"/>
    <w:lvl w:ilvl="0">
      <w:start w:val="1"/>
      <w:numFmt w:val="decimal"/>
      <w:lvlText w:val="%1."/>
      <w:lvlJc w:val="left"/>
      <w:pPr>
        <w:ind w:left="1131" w:hanging="564"/>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4B7A40A2"/>
    <w:multiLevelType w:val="multilevel"/>
    <w:tmpl w:val="894CA2E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1E333E5"/>
    <w:multiLevelType w:val="multilevel"/>
    <w:tmpl w:val="370640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8719B0"/>
    <w:multiLevelType w:val="multilevel"/>
    <w:tmpl w:val="7672895A"/>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ADD1053"/>
    <w:multiLevelType w:val="multilevel"/>
    <w:tmpl w:val="F0440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BC0E06"/>
    <w:multiLevelType w:val="multilevel"/>
    <w:tmpl w:val="57F242C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F382B"/>
    <w:multiLevelType w:val="multilevel"/>
    <w:tmpl w:val="23D280DE"/>
    <w:lvl w:ilvl="0">
      <w:start w:val="1"/>
      <w:numFmt w:val="decimal"/>
      <w:lvlText w:val="%1."/>
      <w:lvlJc w:val="left"/>
      <w:pPr>
        <w:ind w:left="927" w:hanging="360"/>
      </w:pPr>
      <w:rPr>
        <w:b/>
      </w:rPr>
    </w:lvl>
    <w:lvl w:ilvl="1">
      <w:start w:val="6"/>
      <w:numFmt w:val="decimal"/>
      <w:lvlText w:val="%1.%2."/>
      <w:lvlJc w:val="left"/>
      <w:pPr>
        <w:ind w:left="927" w:hanging="360"/>
      </w:pPr>
    </w:lvl>
    <w:lvl w:ilvl="2">
      <w:start w:val="1"/>
      <w:numFmt w:val="lowerLetter"/>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1" w15:restartNumberingAfterBreak="0">
    <w:nsid w:val="713E2490"/>
    <w:multiLevelType w:val="multilevel"/>
    <w:tmpl w:val="E09C75B0"/>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5231B92"/>
    <w:multiLevelType w:val="multilevel"/>
    <w:tmpl w:val="C7F4835C"/>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5726EE4"/>
    <w:multiLevelType w:val="multilevel"/>
    <w:tmpl w:val="C9B263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7"/>
  </w:num>
  <w:num w:numId="4">
    <w:abstractNumId w:val="11"/>
  </w:num>
  <w:num w:numId="5">
    <w:abstractNumId w:val="2"/>
  </w:num>
  <w:num w:numId="6">
    <w:abstractNumId w:val="5"/>
  </w:num>
  <w:num w:numId="7">
    <w:abstractNumId w:val="8"/>
  </w:num>
  <w:num w:numId="8">
    <w:abstractNumId w:val="10"/>
  </w:num>
  <w:num w:numId="9">
    <w:abstractNumId w:val="3"/>
  </w:num>
  <w:num w:numId="10">
    <w:abstractNumId w:val="13"/>
  </w:num>
  <w:num w:numId="11">
    <w:abstractNumId w:val="12"/>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BF"/>
    <w:rsid w:val="001C4067"/>
    <w:rsid w:val="0066183D"/>
    <w:rsid w:val="009609BF"/>
    <w:rsid w:val="00BE37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75AB9-574C-4E82-976B-F3681609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D347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paragraph" w:styleId="Textonotapie">
    <w:name w:val="footnote text"/>
    <w:basedOn w:val="Normal"/>
    <w:link w:val="TextonotapieCar"/>
    <w:uiPriority w:val="99"/>
    <w:unhideWhenUsed/>
    <w:pPr>
      <w:spacing w:after="0" w:line="240" w:lineRule="auto"/>
    </w:pPr>
    <w:rPr>
      <w:sz w:val="20"/>
      <w:szCs w:val="20"/>
    </w:rPr>
  </w:style>
  <w:style w:type="character" w:customStyle="1" w:styleId="TextonotapieCar">
    <w:name w:val="Texto nota pie Car"/>
    <w:basedOn w:val="Fuentedeprrafopredeter"/>
    <w:link w:val="Textonotapie"/>
    <w:uiPriority w:val="99"/>
    <w:rPr>
      <w:sz w:val="20"/>
      <w:szCs w:val="20"/>
    </w:rPr>
  </w:style>
  <w:style w:type="character" w:styleId="Refdenotaalpie">
    <w:name w:val="footnote reference"/>
    <w:basedOn w:val="Fuentedeprrafopredeter"/>
    <w:uiPriority w:val="99"/>
    <w:semiHidden/>
    <w:unhideWhenUsed/>
    <w:rPr>
      <w:vertAlign w:val="superscript"/>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tyle-override">
    <w:name w:val="no-style-override"/>
    <w:basedOn w:val="Fuentedeprrafopredeter"/>
  </w:style>
  <w:style w:type="character" w:customStyle="1" w:styleId="Ttulo1Car">
    <w:name w:val="Título 1 Car"/>
    <w:basedOn w:val="Fuentedeprrafopredeter"/>
    <w:link w:val="Ttulo1"/>
    <w:uiPriority w:val="9"/>
    <w:rPr>
      <w:rFonts w:ascii="Times New Roman" w:eastAsia="Times New Roman" w:hAnsi="Times New Roman" w:cs="Times New Roman"/>
      <w:b/>
      <w:bCs/>
      <w:kern w:val="36"/>
      <w:sz w:val="48"/>
      <w:szCs w:val="48"/>
      <w:lang w:eastAsia="es-PE"/>
    </w:rPr>
  </w:style>
  <w:style w:type="character" w:styleId="Mencinsinresolver">
    <w:name w:val="Unresolved Mention"/>
    <w:basedOn w:val="Fuentedeprrafopredeter"/>
    <w:uiPriority w:val="99"/>
    <w:semiHidden/>
    <w:unhideWhenUsed/>
    <w:rPr>
      <w:color w:val="605E5C"/>
      <w:shd w:val="clear" w:color="auto" w:fill="E1DFDD"/>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
    <w:name w:val="ver"/>
    <w:basedOn w:val="Fuentedeprrafopredeter"/>
    <w:rsid w:val="00264271"/>
  </w:style>
  <w:style w:type="character" w:customStyle="1" w:styleId="spellver">
    <w:name w:val="spellver"/>
    <w:basedOn w:val="Fuentedeprrafopredeter"/>
    <w:rsid w:val="00264271"/>
  </w:style>
  <w:style w:type="character" w:customStyle="1" w:styleId="Ttulo3Car">
    <w:name w:val="Título 3 Car"/>
    <w:basedOn w:val="Fuentedeprrafopredeter"/>
    <w:link w:val="Ttulo3"/>
    <w:uiPriority w:val="9"/>
    <w:semiHidden/>
    <w:rsid w:val="00D34734"/>
    <w:rPr>
      <w:rFonts w:asciiTheme="majorHAnsi" w:eastAsiaTheme="majorEastAsia" w:hAnsiTheme="majorHAnsi" w:cstheme="majorBidi"/>
      <w:color w:val="1F4D78" w:themeColor="accent1" w:themeShade="7F"/>
      <w:sz w:val="24"/>
      <w:szCs w:val="24"/>
    </w:rPr>
  </w:style>
  <w:style w:type="character" w:customStyle="1" w:styleId="n">
    <w:name w:val="n"/>
    <w:basedOn w:val="Fuentedeprrafopredeter"/>
    <w:rsid w:val="00302B3C"/>
  </w:style>
  <w:style w:type="character" w:customStyle="1" w:styleId="sentence-wrapperwithout-hover">
    <w:name w:val="sentence-wrapper_without-hover"/>
    <w:basedOn w:val="Fuentedeprrafopredeter"/>
    <w:rsid w:val="00E559F9"/>
  </w:style>
  <w:style w:type="character" w:customStyle="1" w:styleId="ng-star-inserted">
    <w:name w:val="ng-star-inserted"/>
    <w:basedOn w:val="Fuentedeprrafopredeter"/>
    <w:rsid w:val="00D071C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customStyle="1" w:styleId="SUMARIO">
    <w:name w:val="SUMARIO"/>
    <w:basedOn w:val="Normal"/>
    <w:next w:val="Normal"/>
    <w:uiPriority w:val="99"/>
    <w:rsid w:val="0066183D"/>
    <w:pPr>
      <w:tabs>
        <w:tab w:val="left" w:pos="340"/>
      </w:tabs>
      <w:autoSpaceDE w:val="0"/>
      <w:autoSpaceDN w:val="0"/>
      <w:adjustRightInd w:val="0"/>
      <w:spacing w:after="0" w:line="240" w:lineRule="auto"/>
      <w:jc w:val="both"/>
    </w:pPr>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j.gob.pe/wps/wcm/connect/1c89478047f610059f4a9f1612471008/Escaneado+en+impresora+multifunci%C3%B3n+Xerox.pdf?MOD=AJPERES&amp;CACHEID=1c89478047f610059f4a9f1612471008" TargetMode="External"/><Relationship Id="rId3" Type="http://schemas.openxmlformats.org/officeDocument/2006/relationships/settings" Target="settings.xml"/><Relationship Id="rId7" Type="http://schemas.openxmlformats.org/officeDocument/2006/relationships/hyperlink" Target="https://spij.minjus.gob.pe/spij-ext-web/detallenorma/H6826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pderecho.pe/existe-ningun-obstaculo-incoar-terminacion-anticipada-etapa-intermed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le.rae.es/expresar" TargetMode="External"/><Relationship Id="rId2" Type="http://schemas.openxmlformats.org/officeDocument/2006/relationships/hyperlink" Target="https://dle.rae.es/recetarm" TargetMode="External"/><Relationship Id="rId1" Type="http://schemas.openxmlformats.org/officeDocument/2006/relationships/hyperlink" Target="https://dle.rae.es/enunciar" TargetMode="External"/><Relationship Id="rId4" Type="http://schemas.openxmlformats.org/officeDocument/2006/relationships/hyperlink" Target="https://dle.rae.es/manifest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17381</Words>
  <Characters>95599</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2022-03-07T21:07:00Z</dcterms:created>
  <dcterms:modified xsi:type="dcterms:W3CDTF">2022-03-07T21:07:00Z</dcterms:modified>
</cp:coreProperties>
</file>