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04AEB" w14:textId="6272ABEF" w:rsidR="00592B18" w:rsidRPr="00900A4E" w:rsidRDefault="00900A4E" w:rsidP="006D3BC4">
      <w:pPr>
        <w:autoSpaceDE w:val="0"/>
        <w:autoSpaceDN w:val="0"/>
        <w:adjustRightInd w:val="0"/>
        <w:spacing w:after="0" w:line="360" w:lineRule="auto"/>
        <w:jc w:val="center"/>
        <w:rPr>
          <w:rFonts w:ascii="Times New Roman" w:hAnsi="Times New Roman" w:cs="Times New Roman"/>
          <w:b/>
          <w:sz w:val="24"/>
          <w:szCs w:val="24"/>
        </w:rPr>
      </w:pPr>
      <w:bookmarkStart w:id="0" w:name="_Hlk107603987"/>
      <w:r w:rsidRPr="00900A4E">
        <w:rPr>
          <w:rFonts w:ascii="Times New Roman" w:hAnsi="Times New Roman" w:cs="Times New Roman"/>
          <w:b/>
          <w:sz w:val="24"/>
          <w:szCs w:val="24"/>
        </w:rPr>
        <w:t xml:space="preserve">PRINCIPIOS DE DESARROLLO SOSTENIBLE COMO HERRAMIENTA PARA LOS CENTROS MINEROS ARTESANALES Y SU RELACIÓN CON LAS POLÍTICAS DE DESARROLLO SOSTENIBLE EN LA MINERÍA PERUANA </w:t>
      </w:r>
      <w:bookmarkEnd w:id="0"/>
      <w:r w:rsidR="000E330D" w:rsidRPr="000E330D">
        <w:rPr>
          <w:rFonts w:ascii="Times New Roman" w:hAnsi="Times New Roman" w:cs="Times New Roman"/>
          <w:b/>
          <w:sz w:val="24"/>
          <w:szCs w:val="24"/>
          <w:lang w:val="en-US"/>
        </w:rPr>
        <w:t>S</w:t>
      </w:r>
      <w:r w:rsidRPr="000E330D">
        <w:rPr>
          <w:rFonts w:ascii="Times New Roman" w:hAnsi="Times New Roman" w:cs="Times New Roman"/>
          <w:b/>
          <w:sz w:val="24"/>
          <w:szCs w:val="24"/>
          <w:lang w:val="en-US"/>
        </w:rPr>
        <w:t>ustainable development principles as a tool for artisan mining centers and its relationship with sustainable development policies in Peruvian mining</w:t>
      </w:r>
    </w:p>
    <w:p w14:paraId="36089BDA" w14:textId="77777777" w:rsidR="00A14667" w:rsidRPr="007F3901" w:rsidRDefault="00A14667" w:rsidP="006D3BC4">
      <w:pPr>
        <w:autoSpaceDE w:val="0"/>
        <w:autoSpaceDN w:val="0"/>
        <w:adjustRightInd w:val="0"/>
        <w:spacing w:after="0" w:line="360" w:lineRule="auto"/>
        <w:jc w:val="center"/>
        <w:rPr>
          <w:rFonts w:ascii="Times New Roman" w:hAnsi="Times New Roman" w:cs="Times New Roman"/>
          <w:b/>
          <w:sz w:val="24"/>
          <w:szCs w:val="24"/>
        </w:rPr>
      </w:pPr>
    </w:p>
    <w:p w14:paraId="248E16E3" w14:textId="7A10B93C" w:rsidR="00900A4E" w:rsidRDefault="00900A4E" w:rsidP="006D3BC4">
      <w:pPr>
        <w:autoSpaceDE w:val="0"/>
        <w:autoSpaceDN w:val="0"/>
        <w:adjustRightInd w:val="0"/>
        <w:spacing w:after="0" w:line="360" w:lineRule="auto"/>
        <w:jc w:val="center"/>
        <w:rPr>
          <w:rFonts w:ascii="Times New Roman" w:eastAsia="Times New Roman" w:hAnsi="Times New Roman" w:cs="Times New Roman"/>
          <w:b/>
          <w:iCs/>
          <w:sz w:val="24"/>
          <w:szCs w:val="24"/>
          <w:lang w:val="es-MX"/>
        </w:rPr>
      </w:pPr>
      <w:r w:rsidRPr="00900A4E">
        <w:rPr>
          <w:rFonts w:ascii="Times New Roman" w:eastAsia="Times New Roman" w:hAnsi="Times New Roman" w:cs="Times New Roman"/>
          <w:b/>
          <w:iCs/>
          <w:sz w:val="24"/>
          <w:szCs w:val="24"/>
          <w:lang w:val="es-MX"/>
        </w:rPr>
        <w:t>Luna</w:t>
      </w:r>
      <w:r>
        <w:rPr>
          <w:rFonts w:ascii="Times New Roman" w:eastAsia="Times New Roman" w:hAnsi="Times New Roman" w:cs="Times New Roman"/>
          <w:b/>
          <w:iCs/>
          <w:sz w:val="24"/>
          <w:szCs w:val="24"/>
          <w:lang w:val="es-MX"/>
        </w:rPr>
        <w:t>-</w:t>
      </w:r>
      <w:r w:rsidRPr="00900A4E">
        <w:rPr>
          <w:rFonts w:ascii="Times New Roman" w:eastAsia="Times New Roman" w:hAnsi="Times New Roman" w:cs="Times New Roman"/>
          <w:b/>
          <w:iCs/>
          <w:sz w:val="24"/>
          <w:szCs w:val="24"/>
          <w:lang w:val="es-MX"/>
        </w:rPr>
        <w:t xml:space="preserve"> Córdova</w:t>
      </w:r>
      <w:r w:rsidRPr="00900A4E">
        <w:rPr>
          <w:rFonts w:ascii="Times New Roman" w:eastAsia="Times New Roman" w:hAnsi="Times New Roman" w:cs="Times New Roman"/>
          <w:b/>
          <w:iCs/>
          <w:sz w:val="24"/>
          <w:szCs w:val="24"/>
          <w:lang w:val="es-MX"/>
        </w:rPr>
        <w:t xml:space="preserve"> </w:t>
      </w:r>
    </w:p>
    <w:p w14:paraId="566DBA39" w14:textId="661DE95A" w:rsidR="009E0DC6" w:rsidRPr="007F3901" w:rsidRDefault="009E0DC6" w:rsidP="006D3BC4">
      <w:pPr>
        <w:autoSpaceDE w:val="0"/>
        <w:autoSpaceDN w:val="0"/>
        <w:adjustRightInd w:val="0"/>
        <w:spacing w:after="0" w:line="360" w:lineRule="auto"/>
        <w:jc w:val="center"/>
        <w:rPr>
          <w:rFonts w:ascii="Times New Roman" w:hAnsi="Times New Roman" w:cs="Times New Roman"/>
          <w:b/>
          <w:sz w:val="24"/>
          <w:szCs w:val="24"/>
        </w:rPr>
      </w:pPr>
      <w:r w:rsidRPr="007F3901">
        <w:rPr>
          <w:rFonts w:ascii="Times New Roman" w:hAnsi="Times New Roman" w:cs="Times New Roman"/>
          <w:b/>
          <w:sz w:val="24"/>
          <w:szCs w:val="24"/>
        </w:rPr>
        <w:t>Universidad Nacional Federico Villarreal</w:t>
      </w:r>
    </w:p>
    <w:p w14:paraId="1C97938D" w14:textId="77777777" w:rsidR="00592B18" w:rsidRPr="007F3901" w:rsidRDefault="00592B18" w:rsidP="006D3BC4">
      <w:pPr>
        <w:autoSpaceDE w:val="0"/>
        <w:autoSpaceDN w:val="0"/>
        <w:adjustRightInd w:val="0"/>
        <w:spacing w:after="0" w:line="360" w:lineRule="auto"/>
        <w:jc w:val="center"/>
        <w:rPr>
          <w:rFonts w:ascii="Times New Roman" w:hAnsi="Times New Roman" w:cs="Times New Roman"/>
          <w:sz w:val="24"/>
          <w:szCs w:val="24"/>
        </w:rPr>
      </w:pPr>
    </w:p>
    <w:p w14:paraId="3C3218D6" w14:textId="77777777" w:rsidR="00A95271" w:rsidRPr="007F3901" w:rsidRDefault="00A95271" w:rsidP="006D3BC4">
      <w:pPr>
        <w:autoSpaceDE w:val="0"/>
        <w:autoSpaceDN w:val="0"/>
        <w:adjustRightInd w:val="0"/>
        <w:spacing w:after="0" w:line="360" w:lineRule="auto"/>
        <w:jc w:val="center"/>
        <w:rPr>
          <w:rFonts w:ascii="Times New Roman" w:hAnsi="Times New Roman" w:cs="Times New Roman"/>
          <w:b/>
          <w:sz w:val="24"/>
          <w:szCs w:val="24"/>
        </w:rPr>
      </w:pPr>
    </w:p>
    <w:p w14:paraId="44409EA2" w14:textId="77777777" w:rsidR="00734B5C" w:rsidRPr="007F3901" w:rsidRDefault="00734B5C" w:rsidP="006D3BC4">
      <w:pPr>
        <w:autoSpaceDE w:val="0"/>
        <w:autoSpaceDN w:val="0"/>
        <w:adjustRightInd w:val="0"/>
        <w:spacing w:after="0" w:line="360" w:lineRule="auto"/>
        <w:jc w:val="both"/>
        <w:rPr>
          <w:rFonts w:ascii="Times New Roman" w:hAnsi="Times New Roman" w:cs="Times New Roman"/>
          <w:b/>
          <w:sz w:val="24"/>
          <w:szCs w:val="24"/>
        </w:rPr>
      </w:pPr>
      <w:r w:rsidRPr="007F3901">
        <w:rPr>
          <w:rFonts w:ascii="Times New Roman" w:hAnsi="Times New Roman" w:cs="Times New Roman"/>
          <w:b/>
          <w:sz w:val="24"/>
          <w:szCs w:val="24"/>
        </w:rPr>
        <w:t>RESUMEN</w:t>
      </w:r>
    </w:p>
    <w:p w14:paraId="7D1A1A50" w14:textId="1378E5B7" w:rsidR="00900A4E" w:rsidRPr="00900A4E" w:rsidRDefault="00A1117E" w:rsidP="00900A4E">
      <w:pPr>
        <w:spacing w:after="0" w:line="480" w:lineRule="auto"/>
        <w:jc w:val="both"/>
        <w:rPr>
          <w:rFonts w:ascii="Times New Roman" w:hAnsi="Times New Roman" w:cs="Times New Roman"/>
          <w:sz w:val="24"/>
          <w:szCs w:val="24"/>
        </w:rPr>
      </w:pPr>
      <w:bookmarkStart w:id="1" w:name="_Toc463205911"/>
      <w:bookmarkStart w:id="2" w:name="_Toc463361764"/>
      <w:r w:rsidRPr="007F3901">
        <w:rPr>
          <w:rFonts w:ascii="Times New Roman" w:hAnsi="Times New Roman" w:cs="Times New Roman"/>
          <w:sz w:val="24"/>
          <w:szCs w:val="24"/>
        </w:rPr>
        <w:t>La investigación</w:t>
      </w:r>
      <w:r w:rsidR="00A14667" w:rsidRPr="007F3901">
        <w:rPr>
          <w:rFonts w:ascii="Times New Roman" w:hAnsi="Times New Roman" w:cs="Times New Roman"/>
          <w:sz w:val="24"/>
          <w:szCs w:val="24"/>
        </w:rPr>
        <w:t xml:space="preserve"> tuvo </w:t>
      </w:r>
      <w:r w:rsidR="00900A4E" w:rsidRPr="00900A4E">
        <w:rPr>
          <w:rFonts w:ascii="Times New Roman" w:hAnsi="Times New Roman" w:cs="Times New Roman"/>
          <w:sz w:val="24"/>
          <w:szCs w:val="24"/>
        </w:rPr>
        <w:t xml:space="preserve">como objetivo determinar si los principios de desarrollo sostenible como herramienta para los Centros Mineros Artesanales (CMA) se relacionarán con las políticas de desarrollo sostenible en la minería peruana, puesto que su conocimiento es sumamente importante ya que lo que se busca es generar consciencia sobre el desarrollo sostenible y conocer si las personas que laboran en las minas tienen conocimientos de estos temas. La metodología utilizada en la investigación es de tipo aplicada, diseño no experimental y corte transversal. Para medir las variables de estudio se empleó como un cuestionario con 10 preguntas. La muestra de estudio estuvo conformada por 100 personas que laboran en las minas. Como conclusión se obtuvo que los principios de desarrollo sostenible como herramienta para los CMA se relacionan con las políticas de desarrollo sostenible en la minería peruana, ya que se obtuvo un coeficiente de correlación Rho de Spearman, que tiene el valor de 0.538** y </w:t>
      </w:r>
      <w:proofErr w:type="gramStart"/>
      <w:r w:rsidR="00900A4E" w:rsidRPr="00900A4E">
        <w:rPr>
          <w:rFonts w:ascii="Times New Roman" w:hAnsi="Times New Roman" w:cs="Times New Roman"/>
          <w:sz w:val="24"/>
          <w:szCs w:val="24"/>
        </w:rPr>
        <w:t>el sigma</w:t>
      </w:r>
      <w:proofErr w:type="gramEnd"/>
      <w:r w:rsidR="00900A4E" w:rsidRPr="00900A4E">
        <w:rPr>
          <w:rFonts w:ascii="Times New Roman" w:hAnsi="Times New Roman" w:cs="Times New Roman"/>
          <w:sz w:val="24"/>
          <w:szCs w:val="24"/>
        </w:rPr>
        <w:t xml:space="preserve"> (bilateral) de 0,004.</w:t>
      </w:r>
    </w:p>
    <w:p w14:paraId="376BB2E8" w14:textId="201159F3" w:rsidR="00900A4E" w:rsidRDefault="00900A4E" w:rsidP="00900A4E">
      <w:pPr>
        <w:spacing w:after="0" w:line="480" w:lineRule="auto"/>
        <w:jc w:val="both"/>
        <w:rPr>
          <w:rFonts w:ascii="Times New Roman" w:hAnsi="Times New Roman" w:cs="Times New Roman"/>
          <w:sz w:val="24"/>
          <w:szCs w:val="24"/>
        </w:rPr>
      </w:pPr>
      <w:r w:rsidRPr="00900A4E">
        <w:rPr>
          <w:rFonts w:ascii="Times New Roman" w:hAnsi="Times New Roman" w:cs="Times New Roman"/>
          <w:b/>
          <w:bCs/>
          <w:i/>
          <w:iCs/>
          <w:sz w:val="24"/>
          <w:szCs w:val="24"/>
        </w:rPr>
        <w:t>Palabras claves:</w:t>
      </w:r>
      <w:r w:rsidRPr="00900A4E">
        <w:rPr>
          <w:rFonts w:ascii="Times New Roman" w:hAnsi="Times New Roman" w:cs="Times New Roman"/>
          <w:sz w:val="24"/>
          <w:szCs w:val="24"/>
        </w:rPr>
        <w:t xml:space="preserve"> mina, desarrollo sostenible, medio ambiente, políticas, CMA.</w:t>
      </w:r>
    </w:p>
    <w:p w14:paraId="54B48928" w14:textId="77777777" w:rsidR="00C60B51" w:rsidRDefault="00C60B51" w:rsidP="00900A4E">
      <w:pPr>
        <w:spacing w:after="0" w:line="480" w:lineRule="auto"/>
        <w:jc w:val="both"/>
        <w:rPr>
          <w:rFonts w:ascii="Times New Roman" w:hAnsi="Times New Roman" w:cs="Times New Roman"/>
          <w:sz w:val="24"/>
          <w:szCs w:val="24"/>
        </w:rPr>
      </w:pPr>
    </w:p>
    <w:p w14:paraId="35BA50F1" w14:textId="32A6788E" w:rsidR="009F3072" w:rsidRPr="00900A4E" w:rsidRDefault="009F3072" w:rsidP="00900A4E">
      <w:pPr>
        <w:spacing w:after="0" w:line="480" w:lineRule="auto"/>
        <w:jc w:val="both"/>
        <w:rPr>
          <w:rFonts w:ascii="Times New Roman" w:hAnsi="Times New Roman" w:cs="Times New Roman"/>
          <w:b/>
          <w:sz w:val="24"/>
          <w:szCs w:val="24"/>
          <w:lang w:val="en-US"/>
        </w:rPr>
      </w:pPr>
      <w:r w:rsidRPr="00900A4E">
        <w:rPr>
          <w:rFonts w:ascii="Times New Roman" w:hAnsi="Times New Roman" w:cs="Times New Roman"/>
          <w:b/>
          <w:sz w:val="24"/>
          <w:szCs w:val="24"/>
          <w:lang w:val="en-US"/>
        </w:rPr>
        <w:t>ABSTRACT</w:t>
      </w:r>
      <w:bookmarkEnd w:id="1"/>
      <w:bookmarkEnd w:id="2"/>
    </w:p>
    <w:p w14:paraId="4D2B4209" w14:textId="1502D4B5" w:rsidR="00900A4E" w:rsidRPr="00900A4E" w:rsidRDefault="00900A4E" w:rsidP="00900A4E">
      <w:pPr>
        <w:spacing w:after="0" w:line="480" w:lineRule="auto"/>
        <w:jc w:val="both"/>
        <w:rPr>
          <w:rFonts w:ascii="Times New Roman" w:eastAsia="Calibri" w:hAnsi="Times New Roman" w:cs="Times New Roman"/>
          <w:sz w:val="24"/>
          <w:szCs w:val="24"/>
          <w:lang w:val="en"/>
        </w:rPr>
      </w:pPr>
      <w:r w:rsidRPr="00900A4E">
        <w:rPr>
          <w:rFonts w:ascii="Times New Roman" w:eastAsia="Calibri" w:hAnsi="Times New Roman" w:cs="Times New Roman"/>
          <w:sz w:val="24"/>
          <w:szCs w:val="24"/>
          <w:lang w:val="en"/>
        </w:rPr>
        <w:t xml:space="preserve">The objective of this research work entitled "Principles of sustainable development as a tool for environmental codes and their relationship with sustainable development policies </w:t>
      </w:r>
      <w:r w:rsidRPr="00900A4E">
        <w:rPr>
          <w:rFonts w:ascii="Times New Roman" w:eastAsia="Calibri" w:hAnsi="Times New Roman" w:cs="Times New Roman"/>
          <w:sz w:val="24"/>
          <w:szCs w:val="24"/>
          <w:lang w:val="en"/>
        </w:rPr>
        <w:lastRenderedPageBreak/>
        <w:t>in Peruvian mining" was to determine if the principles of sustainable development as a tool for CMA will be related with sustainable development policies in Peruvian mining, since their knowledge is extremely important since what is sought is to generate awareness about sustainable development and to know if the people who work in the mines have knowledge of these issues. The methodology used in the research is applied, non-experimental design and cross-sectional. To measure the study variables, a questionnaire with 10 questions was used. The study sample consisted of 100 people who work in the mines. As a conclusion, it was obtained that the principles of sustainable development as a tool for the CMA are related to the policies of sustainable development in Peruvian mining, since a Spearman's Rho correlation coefficient was obtained, which has the value of 0.538** and the sigma (two-sided) of 0.004.</w:t>
      </w:r>
    </w:p>
    <w:p w14:paraId="0F9141A4" w14:textId="77777777" w:rsidR="00900A4E" w:rsidRPr="00900A4E" w:rsidRDefault="00900A4E" w:rsidP="00900A4E">
      <w:pPr>
        <w:spacing w:after="0" w:line="480" w:lineRule="auto"/>
        <w:ind w:firstLine="360"/>
        <w:jc w:val="both"/>
        <w:rPr>
          <w:rFonts w:ascii="Times New Roman" w:eastAsia="Calibri" w:hAnsi="Times New Roman" w:cs="Times New Roman"/>
          <w:sz w:val="24"/>
          <w:szCs w:val="24"/>
          <w:lang w:val="en-US"/>
        </w:rPr>
      </w:pPr>
      <w:r w:rsidRPr="00900A4E">
        <w:rPr>
          <w:rFonts w:ascii="Times New Roman" w:eastAsia="Calibri" w:hAnsi="Times New Roman" w:cs="Times New Roman"/>
          <w:i/>
          <w:iCs/>
          <w:sz w:val="24"/>
          <w:szCs w:val="24"/>
          <w:lang w:val="en"/>
        </w:rPr>
        <w:t>Keywords:</w:t>
      </w:r>
      <w:r w:rsidRPr="00900A4E">
        <w:rPr>
          <w:rFonts w:ascii="Times New Roman" w:eastAsia="Calibri" w:hAnsi="Times New Roman" w:cs="Times New Roman"/>
          <w:sz w:val="24"/>
          <w:szCs w:val="24"/>
          <w:lang w:val="en"/>
        </w:rPr>
        <w:t xml:space="preserve"> mine, sustainable development, environment, policies, CMA.</w:t>
      </w:r>
    </w:p>
    <w:p w14:paraId="0E9CFCD0" w14:textId="77777777" w:rsidR="00A14667" w:rsidRPr="007F3901" w:rsidRDefault="00A14667" w:rsidP="00A14667">
      <w:pPr>
        <w:spacing w:after="0" w:line="480" w:lineRule="auto"/>
        <w:ind w:right="-285"/>
        <w:jc w:val="both"/>
        <w:rPr>
          <w:rFonts w:ascii="Times New Roman" w:hAnsi="Times New Roman" w:cs="Times New Roman"/>
          <w:bCs/>
          <w:sz w:val="24"/>
          <w:szCs w:val="24"/>
          <w:lang w:val="en-US"/>
        </w:rPr>
      </w:pPr>
    </w:p>
    <w:p w14:paraId="6FD452D8" w14:textId="77777777" w:rsidR="009F3072" w:rsidRPr="007F3901" w:rsidRDefault="00C379D5" w:rsidP="00A95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lang w:eastAsia="es-PE"/>
        </w:rPr>
      </w:pPr>
      <w:r w:rsidRPr="007F3901">
        <w:rPr>
          <w:rFonts w:ascii="Times New Roman" w:eastAsia="Times New Roman" w:hAnsi="Times New Roman" w:cs="Times New Roman"/>
          <w:b/>
          <w:sz w:val="24"/>
          <w:szCs w:val="24"/>
          <w:lang w:eastAsia="es-PE"/>
        </w:rPr>
        <w:t>I</w:t>
      </w:r>
      <w:r w:rsidR="009F3072" w:rsidRPr="007F3901">
        <w:rPr>
          <w:rFonts w:ascii="Times New Roman" w:eastAsia="Times New Roman" w:hAnsi="Times New Roman" w:cs="Times New Roman"/>
          <w:b/>
          <w:sz w:val="24"/>
          <w:szCs w:val="24"/>
          <w:lang w:eastAsia="es-PE"/>
        </w:rPr>
        <w:t>NTRODUCCIÓN</w:t>
      </w:r>
    </w:p>
    <w:p w14:paraId="22F01311" w14:textId="21D237A7" w:rsidR="00900A4E" w:rsidRPr="00900A4E" w:rsidRDefault="00900A4E" w:rsidP="00900A4E">
      <w:pPr>
        <w:spacing w:after="0" w:line="480" w:lineRule="auto"/>
        <w:ind w:right="-285"/>
        <w:jc w:val="both"/>
        <w:rPr>
          <w:rFonts w:ascii="Times New Roman" w:hAnsi="Times New Roman" w:cs="Times New Roman"/>
          <w:bCs/>
          <w:sz w:val="24"/>
          <w:szCs w:val="24"/>
        </w:rPr>
      </w:pPr>
      <w:r w:rsidRPr="00900A4E">
        <w:rPr>
          <w:rFonts w:ascii="Times New Roman" w:hAnsi="Times New Roman" w:cs="Times New Roman"/>
          <w:bCs/>
          <w:sz w:val="24"/>
          <w:szCs w:val="24"/>
        </w:rPr>
        <w:t>El Perú es un país cuya reconocida tradición minera se demuestra en la  actualidad por la presencia de: cerámicos, orfebrería, tintes, ciudadelas, templos y sitios arqueológicos de la época Pre Inca e Inca; explotación de yacimientos de oro, plata, cobre y azogue desde la época de la Colonia; explotación del salitre en la época inicial de la República y actualmente por la presencia de una variada gama de recursos minerales y energéticos que generan anualmente al país más  del 60% de los ingresos de divisas por las exportaciones nacionales.</w:t>
      </w:r>
    </w:p>
    <w:p w14:paraId="663C3780" w14:textId="6F183286" w:rsidR="00232E45" w:rsidRPr="007F3901"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bCs/>
          <w:sz w:val="24"/>
          <w:szCs w:val="24"/>
        </w:rPr>
        <w:t xml:space="preserve">En la constitución de 1993, </w:t>
      </w:r>
      <w:proofErr w:type="spellStart"/>
      <w:r w:rsidRPr="00900A4E">
        <w:rPr>
          <w:rFonts w:ascii="Times New Roman" w:hAnsi="Times New Roman" w:cs="Times New Roman"/>
          <w:bCs/>
          <w:sz w:val="24"/>
          <w:szCs w:val="24"/>
        </w:rPr>
        <w:t>capitulo</w:t>
      </w:r>
      <w:proofErr w:type="spellEnd"/>
      <w:r w:rsidRPr="00900A4E">
        <w:rPr>
          <w:rFonts w:ascii="Times New Roman" w:hAnsi="Times New Roman" w:cs="Times New Roman"/>
          <w:bCs/>
          <w:sz w:val="24"/>
          <w:szCs w:val="24"/>
        </w:rPr>
        <w:t xml:space="preserve"> del Ambiente y Recursos Naturales, donde se establece recursos renovables y no renovables y por ende le pertenece a la Nación que el aprovechamiento es el estado y para ello acá interviene la ley orgánica donde se fija las condiciones de la manera de la utilización. La soberanía del Estado se expresa en la competencia que tiene para legislar y ejercer funciones ejecutivas y jurisdiccionales sobre los recursos naturales, dada su diversidad y especialidad en su tratamiento y manejo.</w:t>
      </w:r>
    </w:p>
    <w:p w14:paraId="633990D4" w14:textId="6C21C2D4" w:rsidR="008354B8" w:rsidRPr="007F3901" w:rsidRDefault="008354B8" w:rsidP="00232E45">
      <w:pPr>
        <w:spacing w:after="0" w:line="480" w:lineRule="auto"/>
        <w:ind w:right="-285"/>
        <w:jc w:val="both"/>
        <w:rPr>
          <w:rFonts w:ascii="Times New Roman" w:hAnsi="Times New Roman" w:cs="Times New Roman"/>
          <w:bCs/>
          <w:sz w:val="24"/>
          <w:szCs w:val="24"/>
          <w:u w:val="single"/>
        </w:rPr>
      </w:pPr>
      <w:r w:rsidRPr="007F3901">
        <w:rPr>
          <w:rFonts w:ascii="Times New Roman" w:hAnsi="Times New Roman" w:cs="Times New Roman"/>
          <w:bCs/>
          <w:sz w:val="24"/>
          <w:szCs w:val="24"/>
          <w:u w:val="single"/>
        </w:rPr>
        <w:t>Problema principal de la Investigación fue:</w:t>
      </w:r>
    </w:p>
    <w:p w14:paraId="59304581" w14:textId="771FFB10" w:rsidR="00900A4E" w:rsidRPr="00900A4E" w:rsidRDefault="00C60B51" w:rsidP="00900A4E">
      <w:pPr>
        <w:widowControl w:val="0"/>
        <w:autoSpaceDE w:val="0"/>
        <w:autoSpaceDN w:val="0"/>
        <w:spacing w:before="15" w:after="0" w:line="480" w:lineRule="auto"/>
        <w:jc w:val="both"/>
        <w:rPr>
          <w:rFonts w:ascii="Times New Roman" w:hAnsi="Times New Roman" w:cs="Times New Roman"/>
          <w:sz w:val="24"/>
          <w:szCs w:val="32"/>
        </w:rPr>
      </w:pPr>
      <w:r w:rsidRPr="00C60B51">
        <w:rPr>
          <w:rFonts w:ascii="Times New Roman" w:hAnsi="Times New Roman" w:cs="Times New Roman"/>
          <w:sz w:val="24"/>
          <w:szCs w:val="32"/>
        </w:rPr>
        <w:t>¿Los</w:t>
      </w:r>
      <w:r>
        <w:rPr>
          <w:rFonts w:ascii="Times New Roman" w:hAnsi="Times New Roman" w:cs="Times New Roman"/>
          <w:sz w:val="24"/>
          <w:szCs w:val="32"/>
        </w:rPr>
        <w:t xml:space="preserve"> </w:t>
      </w:r>
      <w:r w:rsidRPr="00C60B51">
        <w:rPr>
          <w:rFonts w:ascii="Times New Roman" w:hAnsi="Times New Roman" w:cs="Times New Roman"/>
          <w:sz w:val="24"/>
          <w:szCs w:val="32"/>
        </w:rPr>
        <w:t>principios</w:t>
      </w:r>
      <w:r>
        <w:rPr>
          <w:rFonts w:ascii="Times New Roman" w:hAnsi="Times New Roman" w:cs="Times New Roman"/>
          <w:sz w:val="24"/>
          <w:szCs w:val="32"/>
        </w:rPr>
        <w:t xml:space="preserve"> </w:t>
      </w:r>
      <w:r w:rsidRPr="00C60B51">
        <w:rPr>
          <w:rFonts w:ascii="Times New Roman" w:hAnsi="Times New Roman" w:cs="Times New Roman"/>
          <w:sz w:val="24"/>
          <w:szCs w:val="32"/>
        </w:rPr>
        <w:t>de</w:t>
      </w:r>
      <w:r>
        <w:rPr>
          <w:rFonts w:ascii="Times New Roman" w:hAnsi="Times New Roman" w:cs="Times New Roman"/>
          <w:sz w:val="24"/>
          <w:szCs w:val="32"/>
        </w:rPr>
        <w:t xml:space="preserve"> </w:t>
      </w:r>
      <w:r w:rsidRPr="00C60B51">
        <w:rPr>
          <w:rFonts w:ascii="Times New Roman" w:hAnsi="Times New Roman" w:cs="Times New Roman"/>
          <w:sz w:val="24"/>
          <w:szCs w:val="32"/>
        </w:rPr>
        <w:t>desarrollo</w:t>
      </w:r>
      <w:r>
        <w:rPr>
          <w:rFonts w:ascii="Times New Roman" w:hAnsi="Times New Roman" w:cs="Times New Roman"/>
          <w:sz w:val="24"/>
          <w:szCs w:val="32"/>
        </w:rPr>
        <w:t xml:space="preserve"> s</w:t>
      </w:r>
      <w:r w:rsidRPr="00C60B51">
        <w:rPr>
          <w:rFonts w:ascii="Times New Roman" w:hAnsi="Times New Roman" w:cs="Times New Roman"/>
          <w:sz w:val="24"/>
          <w:szCs w:val="32"/>
        </w:rPr>
        <w:t>ostenible</w:t>
      </w:r>
      <w:r>
        <w:rPr>
          <w:rFonts w:ascii="Times New Roman" w:hAnsi="Times New Roman" w:cs="Times New Roman"/>
          <w:sz w:val="24"/>
          <w:szCs w:val="32"/>
        </w:rPr>
        <w:t xml:space="preserve"> </w:t>
      </w:r>
      <w:r w:rsidRPr="00C60B51">
        <w:rPr>
          <w:rFonts w:ascii="Times New Roman" w:hAnsi="Times New Roman" w:cs="Times New Roman"/>
          <w:sz w:val="24"/>
          <w:szCs w:val="32"/>
        </w:rPr>
        <w:t>como</w:t>
      </w:r>
      <w:r>
        <w:rPr>
          <w:rFonts w:ascii="Times New Roman" w:hAnsi="Times New Roman" w:cs="Times New Roman"/>
          <w:sz w:val="24"/>
          <w:szCs w:val="32"/>
        </w:rPr>
        <w:t xml:space="preserve"> </w:t>
      </w:r>
      <w:r w:rsidRPr="00C60B51">
        <w:rPr>
          <w:rFonts w:ascii="Times New Roman" w:hAnsi="Times New Roman" w:cs="Times New Roman"/>
          <w:sz w:val="24"/>
          <w:szCs w:val="32"/>
        </w:rPr>
        <w:t>herramienta</w:t>
      </w:r>
      <w:r>
        <w:rPr>
          <w:rFonts w:ascii="Times New Roman" w:hAnsi="Times New Roman" w:cs="Times New Roman"/>
          <w:sz w:val="24"/>
          <w:szCs w:val="32"/>
        </w:rPr>
        <w:t xml:space="preserve"> </w:t>
      </w:r>
      <w:r w:rsidRPr="00C60B51">
        <w:rPr>
          <w:rFonts w:ascii="Times New Roman" w:hAnsi="Times New Roman" w:cs="Times New Roman"/>
          <w:sz w:val="24"/>
          <w:szCs w:val="32"/>
        </w:rPr>
        <w:t>para</w:t>
      </w:r>
      <w:r>
        <w:rPr>
          <w:rFonts w:ascii="Times New Roman" w:hAnsi="Times New Roman" w:cs="Times New Roman"/>
          <w:sz w:val="24"/>
          <w:szCs w:val="32"/>
        </w:rPr>
        <w:t xml:space="preserve"> </w:t>
      </w:r>
      <w:r w:rsidRPr="00C60B51">
        <w:rPr>
          <w:rFonts w:ascii="Times New Roman" w:hAnsi="Times New Roman" w:cs="Times New Roman"/>
          <w:sz w:val="24"/>
          <w:szCs w:val="32"/>
        </w:rPr>
        <w:t>los</w:t>
      </w:r>
      <w:r>
        <w:rPr>
          <w:rFonts w:ascii="Times New Roman" w:hAnsi="Times New Roman" w:cs="Times New Roman"/>
          <w:sz w:val="24"/>
          <w:szCs w:val="32"/>
        </w:rPr>
        <w:t xml:space="preserve"> </w:t>
      </w:r>
      <w:r w:rsidRPr="00C60B51">
        <w:rPr>
          <w:rFonts w:ascii="Times New Roman" w:hAnsi="Times New Roman" w:cs="Times New Roman"/>
          <w:sz w:val="24"/>
          <w:szCs w:val="32"/>
        </w:rPr>
        <w:t>CMA</w:t>
      </w:r>
      <w:r>
        <w:rPr>
          <w:rFonts w:ascii="Times New Roman" w:hAnsi="Times New Roman" w:cs="Times New Roman"/>
          <w:sz w:val="24"/>
          <w:szCs w:val="32"/>
        </w:rPr>
        <w:t xml:space="preserve"> </w:t>
      </w:r>
      <w:r w:rsidRPr="00C60B51">
        <w:rPr>
          <w:rFonts w:ascii="Times New Roman" w:hAnsi="Times New Roman" w:cs="Times New Roman"/>
          <w:sz w:val="24"/>
          <w:szCs w:val="32"/>
        </w:rPr>
        <w:t>se</w:t>
      </w:r>
      <w:r>
        <w:rPr>
          <w:rFonts w:ascii="Times New Roman" w:hAnsi="Times New Roman" w:cs="Times New Roman"/>
          <w:sz w:val="24"/>
          <w:szCs w:val="32"/>
        </w:rPr>
        <w:t xml:space="preserve"> </w:t>
      </w:r>
      <w:r w:rsidRPr="00C60B51">
        <w:rPr>
          <w:rFonts w:ascii="Times New Roman" w:hAnsi="Times New Roman" w:cs="Times New Roman"/>
          <w:sz w:val="24"/>
          <w:szCs w:val="32"/>
        </w:rPr>
        <w:t>relacionarán</w:t>
      </w:r>
      <w:r>
        <w:rPr>
          <w:rFonts w:ascii="Times New Roman" w:hAnsi="Times New Roman" w:cs="Times New Roman"/>
          <w:sz w:val="24"/>
          <w:szCs w:val="32"/>
        </w:rPr>
        <w:t xml:space="preserve"> </w:t>
      </w:r>
      <w:r w:rsidRPr="00C60B51">
        <w:rPr>
          <w:rFonts w:ascii="Times New Roman" w:hAnsi="Times New Roman" w:cs="Times New Roman"/>
          <w:sz w:val="24"/>
          <w:szCs w:val="32"/>
        </w:rPr>
        <w:t>con</w:t>
      </w:r>
      <w:r>
        <w:rPr>
          <w:rFonts w:ascii="Times New Roman" w:hAnsi="Times New Roman" w:cs="Times New Roman"/>
          <w:sz w:val="24"/>
          <w:szCs w:val="32"/>
        </w:rPr>
        <w:t xml:space="preserve"> </w:t>
      </w:r>
      <w:r w:rsidRPr="00C60B51">
        <w:rPr>
          <w:rFonts w:ascii="Times New Roman" w:hAnsi="Times New Roman" w:cs="Times New Roman"/>
          <w:sz w:val="24"/>
          <w:szCs w:val="32"/>
        </w:rPr>
        <w:t>las</w:t>
      </w:r>
      <w:r>
        <w:rPr>
          <w:rFonts w:ascii="Times New Roman" w:hAnsi="Times New Roman" w:cs="Times New Roman"/>
          <w:sz w:val="24"/>
          <w:szCs w:val="32"/>
        </w:rPr>
        <w:t xml:space="preserve"> </w:t>
      </w:r>
      <w:r w:rsidRPr="00C60B51">
        <w:rPr>
          <w:rFonts w:ascii="Times New Roman" w:hAnsi="Times New Roman" w:cs="Times New Roman"/>
          <w:sz w:val="24"/>
          <w:szCs w:val="32"/>
        </w:rPr>
        <w:t>políticas</w:t>
      </w:r>
      <w:r>
        <w:rPr>
          <w:rFonts w:ascii="Times New Roman" w:hAnsi="Times New Roman" w:cs="Times New Roman"/>
          <w:sz w:val="24"/>
          <w:szCs w:val="32"/>
        </w:rPr>
        <w:t xml:space="preserve"> </w:t>
      </w:r>
      <w:r w:rsidRPr="00C60B51">
        <w:rPr>
          <w:rFonts w:ascii="Times New Roman" w:hAnsi="Times New Roman" w:cs="Times New Roman"/>
          <w:sz w:val="24"/>
          <w:szCs w:val="32"/>
        </w:rPr>
        <w:t>de</w:t>
      </w:r>
      <w:r>
        <w:rPr>
          <w:rFonts w:ascii="Times New Roman" w:hAnsi="Times New Roman" w:cs="Times New Roman"/>
          <w:sz w:val="24"/>
          <w:szCs w:val="32"/>
        </w:rPr>
        <w:t xml:space="preserve"> </w:t>
      </w:r>
      <w:r w:rsidRPr="00C60B51">
        <w:rPr>
          <w:rFonts w:ascii="Times New Roman" w:hAnsi="Times New Roman" w:cs="Times New Roman"/>
          <w:sz w:val="24"/>
          <w:szCs w:val="32"/>
        </w:rPr>
        <w:t>desarrollo sostenible</w:t>
      </w:r>
      <w:r>
        <w:rPr>
          <w:rFonts w:ascii="Times New Roman" w:hAnsi="Times New Roman" w:cs="Times New Roman"/>
          <w:sz w:val="24"/>
          <w:szCs w:val="32"/>
        </w:rPr>
        <w:t xml:space="preserve"> </w:t>
      </w:r>
      <w:r w:rsidRPr="00C60B51">
        <w:rPr>
          <w:rFonts w:ascii="Times New Roman" w:hAnsi="Times New Roman" w:cs="Times New Roman"/>
          <w:sz w:val="24"/>
          <w:szCs w:val="32"/>
        </w:rPr>
        <w:t>en</w:t>
      </w:r>
      <w:r>
        <w:rPr>
          <w:rFonts w:ascii="Times New Roman" w:hAnsi="Times New Roman" w:cs="Times New Roman"/>
          <w:sz w:val="24"/>
          <w:szCs w:val="32"/>
        </w:rPr>
        <w:t xml:space="preserve"> </w:t>
      </w:r>
      <w:r w:rsidRPr="00C60B51">
        <w:rPr>
          <w:rFonts w:ascii="Times New Roman" w:hAnsi="Times New Roman" w:cs="Times New Roman"/>
          <w:sz w:val="24"/>
          <w:szCs w:val="32"/>
        </w:rPr>
        <w:t>la</w:t>
      </w:r>
      <w:r>
        <w:rPr>
          <w:rFonts w:ascii="Times New Roman" w:hAnsi="Times New Roman" w:cs="Times New Roman"/>
          <w:sz w:val="24"/>
          <w:szCs w:val="32"/>
        </w:rPr>
        <w:t xml:space="preserve"> </w:t>
      </w:r>
      <w:r w:rsidRPr="00C60B51">
        <w:rPr>
          <w:rFonts w:ascii="Times New Roman" w:hAnsi="Times New Roman" w:cs="Times New Roman"/>
          <w:sz w:val="24"/>
          <w:szCs w:val="32"/>
        </w:rPr>
        <w:t>minería</w:t>
      </w:r>
      <w:r>
        <w:rPr>
          <w:rFonts w:ascii="Times New Roman" w:hAnsi="Times New Roman" w:cs="Times New Roman"/>
          <w:sz w:val="24"/>
          <w:szCs w:val="32"/>
        </w:rPr>
        <w:t xml:space="preserve"> </w:t>
      </w:r>
      <w:r w:rsidRPr="00C60B51">
        <w:rPr>
          <w:rFonts w:ascii="Times New Roman" w:hAnsi="Times New Roman" w:cs="Times New Roman"/>
          <w:sz w:val="24"/>
          <w:szCs w:val="32"/>
        </w:rPr>
        <w:t>peruana</w:t>
      </w:r>
      <w:r w:rsidR="00900A4E" w:rsidRPr="00900A4E">
        <w:rPr>
          <w:rFonts w:ascii="Times New Roman" w:hAnsi="Times New Roman" w:cs="Times New Roman"/>
          <w:sz w:val="24"/>
          <w:szCs w:val="32"/>
        </w:rPr>
        <w:t>?</w:t>
      </w:r>
    </w:p>
    <w:p w14:paraId="41D1CC46" w14:textId="1F23CF95" w:rsidR="008354B8" w:rsidRPr="007F3901" w:rsidRDefault="008354B8" w:rsidP="00A95271">
      <w:pPr>
        <w:spacing w:after="0" w:line="480" w:lineRule="auto"/>
        <w:ind w:right="-285"/>
        <w:jc w:val="both"/>
        <w:rPr>
          <w:rFonts w:ascii="Times New Roman" w:hAnsi="Times New Roman" w:cs="Times New Roman"/>
          <w:bCs/>
          <w:sz w:val="24"/>
          <w:szCs w:val="24"/>
        </w:rPr>
      </w:pPr>
      <w:r w:rsidRPr="007F3901">
        <w:rPr>
          <w:rFonts w:ascii="Times New Roman" w:hAnsi="Times New Roman" w:cs="Times New Roman"/>
          <w:bCs/>
          <w:sz w:val="24"/>
          <w:szCs w:val="24"/>
        </w:rPr>
        <w:t xml:space="preserve">Al respecto, como </w:t>
      </w:r>
      <w:r w:rsidR="00C60B51" w:rsidRPr="007F3901">
        <w:rPr>
          <w:rFonts w:ascii="Times New Roman" w:hAnsi="Times New Roman" w:cs="Times New Roman"/>
          <w:bCs/>
          <w:sz w:val="24"/>
          <w:szCs w:val="24"/>
        </w:rPr>
        <w:t>antecedentes tenemos</w:t>
      </w:r>
      <w:r w:rsidRPr="007F3901">
        <w:rPr>
          <w:rFonts w:ascii="Times New Roman" w:hAnsi="Times New Roman" w:cs="Times New Roman"/>
          <w:bCs/>
          <w:sz w:val="24"/>
          <w:szCs w:val="24"/>
        </w:rPr>
        <w:t>:</w:t>
      </w:r>
    </w:p>
    <w:p w14:paraId="7F61CB71" w14:textId="77777777" w:rsidR="00900A4E" w:rsidRPr="00900A4E"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sz w:val="24"/>
          <w:szCs w:val="24"/>
        </w:rPr>
        <w:t>Arroyo (2017), en su tema sobre el turismo y el desarrollo sostenible en el distrito de Santa Rosa de Quives donde se trató como objetivo principal establecer la relación de ambas variables, el enfoque desarrollado es de naturaleza cuantitativa, además el diseño es no experimental, porque no ha manipulado variables, sino más bien ha hecho un análisis y descripción de la realidad, analizando e identificando los problemas que tiene la sociedad en su conjunto con lo sostenible, el instrumento usado fue la encuesta, se tomó una muestra de 361 pobladores de la población en general, y se llegó a una conclusión un poco negativa debido a la baja relación que se encontró en las variables de la presente investigación, estas en la obtención de los resultados arrojaron bajos índices de relación que tienen ambas, y de ahí que se hizo un análisis del porqué de este impase sobre el turismo y el desarrollo sostenible y se llegó a la conclusión general que debe haber más apoyo de parte de la población en su conjunto para poder apoyar el crecimiento económico, social y ambiental en este distrito que con la baja relación demuestra que no conseguirá obtener su desarrollo sostenible si no se superan este bajo apoyo hacia los factores sostenibles ,siendo los guía principales quizás el gobierno local y las autoridades que deben poner mayor empeño en capacitar y educar sobre los buenos logros que tienen la sostenibilidad para un desarrollo local.</w:t>
      </w:r>
    </w:p>
    <w:p w14:paraId="65C6B8F7" w14:textId="77777777" w:rsidR="00900A4E" w:rsidRPr="00900A4E"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sz w:val="24"/>
          <w:szCs w:val="24"/>
        </w:rPr>
        <w:t>Aparicio (2017), en su trabajo de investigación realizado para buscar la relación existente entre las variables turismo y desarrollo sostenible en el distrito de Miraflores, tuvo como objetivo principal describir como se está realizando el desarrollo sostenible de los pobladores de este mencionado distrito y sobre todo como esta su relación según su naturaleza. Se trata de un estudio cuantitativo de diseño no experimental, de tipo aplicada y de nivel descriptivo, como instrumento se utilizó el método de la encuesta y el muestreo fue de estilo probabilístico, analizando estadísticamente se obtuvo como muestra la cantidad de 196 colaboradores que residen en este distrito y al obtener los resultados de las personas encuestadas se muestra que el 56% refirió un nivel de aceptación positivo en cuanto al desarrollo sostenible del turismo, el 44% señalan que se encuentra en nivel regular, la conclusión que se obtuvo a la propuesta por la hipótesis general fue de manera positiva demostrando que la población como eje principal de desarrollo sostenible juega un rol importante para obtener buenos logros para el desarrollo sostenible en cuanto al turismo en este distrito y que en los momentos en que se realiza la encuesta y el análisis de la principal investigación esto ha demostrado que se encuentra en subida de escalas positivas para su desarrollo sostenible en cuanto al turismo.</w:t>
      </w:r>
    </w:p>
    <w:p w14:paraId="13B2D2F2" w14:textId="77777777" w:rsidR="00900A4E" w:rsidRPr="00900A4E"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sz w:val="24"/>
          <w:szCs w:val="24"/>
        </w:rPr>
        <w:t>Bazán (2013), en su tema de análisis sobre las variables del desarrollo sostenible y los resultados de la intervención realizados en la provincia de Junín y sobre todo acompañado de un análisis sobre la regionalización que opera para este sistema de todos los gobiernos regionales en busca del desarrollo sostenible, el objetivo: en este estudio fue analizar y/o describir los retos que enfrenta un gobierno regional en esta caso Junín, basados en busca del desarrollo sostenible, aplicando reformas y proyecciones a futuro, el presente es un estudio de naturaleza u enfoque cualitativa, el presente trabajo realiza un estudio analítico y establecido de sucesos e historial basado en que todos los gobiernos sean locales o regionales deben asumir el reto de aplicar políticas generadoras de buscar desarrollo en sus ámbitos político, económico y social, sin descuidar el desarrollo ambiental que uniendo a todos se lograría y conseguiría un desarrollo sostenible en avance y en distinción positiva a los objetivos que se quieren  conseguir, al ser un trabajo cualitativo se analizó los logros conseguidos hasta el momento y no se tuvo que realizar ni encuestas ni tener población muestral, más por el contrario como son sus normas de investigación se concluyó en que los gobiernos regionales están demostrando mayor énfasis en sus planes de desarrollo concertado para sus pueblos y comunidades, a la vez que se está buscando capacitar a todas las personas para obtener buenos resultados sobre el desarrollo sostenible y además se está tratando de aplicar tecnología y unir esfuerzos y experiencias con otras regiones para que así en conjunto se pueda conseguir el desarrollo sostenible para las regiones del Perú.</w:t>
      </w:r>
    </w:p>
    <w:p w14:paraId="4E534104" w14:textId="77777777" w:rsidR="00900A4E" w:rsidRPr="00900A4E"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sz w:val="24"/>
          <w:szCs w:val="24"/>
        </w:rPr>
        <w:t>Unchupaico (2011), en su tema que busca relacionar las variables de gestión sostenible como modelo y la siguiente variable referida a los residuos sólidos urbanos, ubicados en el distrito de el Tambo en Huancayo, se propuso tener como objetivo: crear un proyecto para la gestión sostenible en una zona urbana en Huancayo en este caso el Tambo y se trató de tener como fuente como se encuentran actualmente los residuos sólidos en el mundo como estado de arte, se confirmó que el problema fundamental se basa en que los residuos sólidos domiciliarios representan un problema y se aplicó un instrumento de tipo encuesta donde se obtuvo como resultado que se debe establecer un proyecto o modelo de gestión que debe contener un mínimo de requisitos como por ejemplo, participación de todas las autoridades públicas y de todas las instituciones públicas y privadas, de la misma manera se debe contar con recursos humanos tanto profesionales como técnicos, facilitando de parte de las autoridades que dirigen este proyecto todas las facilidades que se puedan tener para la obtención de recursos económicos y materiales que sean destinados a conseguir este objetivo de eliminar o resolver el problema de los residuos sólidos, se concluye señalando algunos elementos básicos que son elementales para conseguir el modelo de gestión para residuos sólidos con los cuales a través de la encuesta y los resultados se obtuvieron y se indicaron para la presente investigación. Dentro de estos elementos se pudo encontrar un sistema de esquema operativo de cómo se debe elaborar este modelo desde el inicio hasta el final considerando desde minimizar el reciclaje hasta su recuperación como fuente usable para otras necesidades.</w:t>
      </w:r>
    </w:p>
    <w:p w14:paraId="6AF20BA5" w14:textId="77777777" w:rsidR="00900A4E" w:rsidRPr="00900A4E"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sz w:val="24"/>
          <w:szCs w:val="24"/>
        </w:rPr>
        <w:t>Montañez (2017), en su tema relacionado a las variables sobre el desarrollo sostenible como variable principal y a la responsabilidad social en la municipalidad que existe sobre esta, estabilizados en la provincia de Yungay para el año 2017, se determinó como objetivo principal establecer la relación que existe entre estas variables, la investigación que realizó fue tipo no experimental, correlacional, de enfoque cuantitativo, la población en general es la provincia de Yungay, además el muestreo se obtuvo estadísticamente del total de la población con colaboradores en total 294 pertenecientes a la municipalidad provincial de Yungay, como resultado de ambas variables, se determinó que ambas variables si tienen una relación alta y significativa de acuerdo a los resultados estadísticos obtenidos, de esta manera se concluye estableciendo la respuesta a la hipótesis general y demostrando que el grado de responsabilidad social que tiene la municipalidad de Yungay sobre el desarrollo sostenible es significativo, es decir que la importancia que se establece para los sistemas económicos, sociales y ambientales impuesta por la municipalidad ha generado una responsabilidad social muy positiva y de esta manera esto conlleva a que en el futuro se estará consiguiendo un desarrollo sostenible al interior de la municipalidad en mención.</w:t>
      </w:r>
    </w:p>
    <w:p w14:paraId="62B5A6EF" w14:textId="77777777" w:rsidR="00900A4E" w:rsidRPr="00900A4E"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sz w:val="24"/>
          <w:szCs w:val="24"/>
        </w:rPr>
        <w:t>Picón (2011), en su tema de investigación se trabajó para conseguir la relación que existe entre un enfoque ambiental dirigida a buscar una educación para el desarrollo sostenible tratando establecer análisis de investigación basado en la educación como fuente y base principal que nos llevara a conseguir objetivos claros y concisos sobre el desarrollo sostenible esto quizás siendo objetivo general, además, se puso como segundo objetivo medir el nivel cultural en cuanto al medio ambiente que se enseña a través de la educación a nuestros niños. El problema principal manifiesta que todo niño debe recibir capacitación adecuada de cómo se puede conseguir una vida mejor y saludable de acuerdo al medio donde vive, así como, desarrollar una idea sólida y consolidada sobre el desarrollo sostenible lo que hasta ahora no se está cumpliendo, existiendo un total desconocimiento en el sistema educativo de cómo se debe fomentar esta educación de cultura ambiental, se visualiza 5 capítulos dentro de esta investigación indicando los procedimientos y las normas que se debe impartir en los colegios y centros de estudio de todo nivel empezando por el nivel inicial, tema básico de educación de sostenibilidad y desarrollo y educación cultural de sostenibilidad, conclusiones: luego de los diversos análisis y resultados obtenidos se llegó a las conclusión de fomentar la importancia educativa a la enseñanza de la cultura ambiental y la sostenibilidad, empezando desde el sistema pedagógico y la participación de autoridades tanto del Ministerio de Ambiente como del Ministerio de Educación para que actúen en forma coordinada a la vez que se debe descentralizar todos los sistemas para una autonomía propia y ejecutiva para cada región y así puedan tomar decisiones positivas para la enseñanza de la cultura ambiental y enfoque hacia el desarrollo sostenible de una localidad región y por ende del país, todo esto desde la base de enseñanza y el enfoque se tiene, además buscar otros intereses basados en el enfoque ambiental como la salud y la educación.</w:t>
      </w:r>
    </w:p>
    <w:p w14:paraId="2EF7B87F" w14:textId="77777777" w:rsidR="00900A4E" w:rsidRPr="00900A4E"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sz w:val="24"/>
          <w:szCs w:val="24"/>
        </w:rPr>
        <w:t>ONU (2012), Organización de las Naciones Unidas manifiesta en uno de sus puntos llamado: “Educación para el desarrollo sostenible”, que uno de los problemas básicos en las enseñanzas es la edición de los libros y textos de enseñanza, además, también la educación para el desarrollo sostenible no se da encerrando dentro de las aulas y con enseñanzas antitécnicas hacia los niños y jóvenes, que en algunas ocasiones no entienden lo que significa el desarrollo sostenible en el mundo o en este caso en sus localidades, manifestar que en poco  tiempo se lograría conseguir un desarrollo en economía, social y mejorar el cuidado del medio ambiente y los recursos naturales, no se puede educar y enseñar  que la sostenibilidad es curso de enseñanza para los cuadernos y libros y queden impresos ahí, se debe enseñar que el desarrollo sostenible debe considerarse como un objetivo a largo plazo, se debe enseñar de acuerdo a su lugar de origen sobre los diferentes procesos y caminos que se han de seguir para conseguir este desarrollo, el objetivo de esta publicación consiste en crear conciencia en el mundo entero que el desarrollo sostenible se puede cimentar desde la educación en todos sus aspectos, es decir educar desde los inicios o niveles de educación a todos los niños y jóvenes sobre sostenibilidad y su rumbo al desarrollo sostenible, para concluir manifiesta que la entidad internacional para la educación Unesco recomienda que los temas que se enseñan en los instituciones educativas sobre sostenibilidad deben ser redactados de manera más práctica y pedagógica por autores profesionales que hayan vivido y experimentado la enseñanza de la sostenibilidad y su aplicación para un desarrollo sostenible.</w:t>
      </w:r>
    </w:p>
    <w:p w14:paraId="706DA033" w14:textId="77777777" w:rsidR="00900A4E" w:rsidRPr="00900A4E"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sz w:val="24"/>
          <w:szCs w:val="24"/>
        </w:rPr>
        <w:t xml:space="preserve">Neves (2014), en su tesis: Modelo de desarrollo local sostenible: el caso del municipio de Sao Joao del Rei (Brasil). describe el problema relatando una breve historia de la ciudad: “Campo das </w:t>
      </w:r>
      <w:proofErr w:type="spellStart"/>
      <w:r w:rsidRPr="00900A4E">
        <w:rPr>
          <w:rFonts w:ascii="Times New Roman" w:hAnsi="Times New Roman" w:cs="Times New Roman"/>
          <w:sz w:val="24"/>
          <w:szCs w:val="24"/>
        </w:rPr>
        <w:t>Vertentes</w:t>
      </w:r>
      <w:proofErr w:type="spellEnd"/>
      <w:r w:rsidRPr="00900A4E">
        <w:rPr>
          <w:rFonts w:ascii="Times New Roman" w:hAnsi="Times New Roman" w:cs="Times New Roman"/>
          <w:sz w:val="24"/>
          <w:szCs w:val="24"/>
        </w:rPr>
        <w:t xml:space="preserve">” (campo de pendientes) quien en los últimos 25 años viene soportando el estancamiento de su desarrollo, usa el método cuantitativo, el objetivo principal de su tesis es: proponer un modelo de desarrollo local sostenible para la ciudad de São Joao Del Rei, y de esta manera ser imagen para otras ciudades de las mismas características que la enunciada, para que así puedan visualizar el adelanto sostenible de Sao Joao Del Rei, realiza además la muestra de tipo probabilístico siendo el instrumento utilizado la  encuesta que se aplicó a un total de 584 colaboradores que los distribuyo de la siguiente manera: población de la ciudad de Sao Joao Del Rei, siendo 73 (12,52%) a los habitantes del barrio Centro, 111 (19,04%) a los habitantes del barrio Colonia, 175 (30,02%) a los habitantes del barrio </w:t>
      </w:r>
      <w:proofErr w:type="spellStart"/>
      <w:r w:rsidRPr="00900A4E">
        <w:rPr>
          <w:rFonts w:ascii="Times New Roman" w:hAnsi="Times New Roman" w:cs="Times New Roman"/>
          <w:sz w:val="24"/>
          <w:szCs w:val="24"/>
        </w:rPr>
        <w:t>Tejuco</w:t>
      </w:r>
      <w:proofErr w:type="spellEnd"/>
      <w:r w:rsidRPr="00900A4E">
        <w:rPr>
          <w:rFonts w:ascii="Times New Roman" w:hAnsi="Times New Roman" w:cs="Times New Roman"/>
          <w:sz w:val="24"/>
          <w:szCs w:val="24"/>
        </w:rPr>
        <w:t xml:space="preserve"> y 224 (38,42%) a los pobladores del barrio Matosinhos, lo que supone el 93,58% de la muestra definida , conclusión: se espera que el presente trabajo contribuya en el objetivo principal como es la aplicación práctica del modelo de desarrollo local sostenible  utilizado para la ciudad de Sao Joao Del Rei y esta a su vez pueda servir de base para la puesta en marcha de un desarrollo sostenible local para otros pueblos de similares características.</w:t>
      </w:r>
    </w:p>
    <w:p w14:paraId="38A7A9FB" w14:textId="77777777" w:rsidR="00900A4E" w:rsidRPr="00900A4E"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sz w:val="24"/>
          <w:szCs w:val="24"/>
        </w:rPr>
        <w:t>Aguilera (2018), en su artículo “Desarrollo sostenible y planificación del desarrollo local” escrita para: “Revistas Bolivianas electrónicas en línea” como tipo de informe detallando que en Bolivia se hace un análisis de cómo se investiga para que exista un proceso de sostenibilidad del desarrollo, para la cual es necesario una etapa previa, argumentando que la planificación sea la base del desarrollo local -municipal con miras al desarrollo sostenible, el objetivo del presente informe manifiesta que si Bolivia comienza a aplicar las técnicas de la sostenibilidad sería más desarrollado en sus gobiernos locales, además establece en el presente informe que mejoraría la calidad de vida a quienes se toma como muestra general del estudio y factor importante para demostrar que este país sudamericano puede salir adelante y aplicando la técnica de la sostenibilidad en sus ejes de desarrollo alcanzaría un máximo desarrollo en sus diferentes aspectos, en conclusión el presente artículo manifiesta que Bolivia se encuentra entusiasmada y decidida en la aplicación de las técnicas y procedimientos que señalan los objetivos de la sostenibilidad para lograr un desarrollo, aun teniendo mínimos índices de recursos económicos para facilitar o proveer de recursos materiales, los gobiernos locales de este país tienden a poner todo esfuerzo posible para lograr que el tan ansiado desarrollo sea positivo para Bolivia en favor precisamente del desarrollo sostenible y que al igual que toda Latinoamérica necesita el apoyo para su desarrollo basado en aplicar la sostenibilidad en todo el país boliviano.</w:t>
      </w:r>
    </w:p>
    <w:p w14:paraId="1330D9ED" w14:textId="77777777" w:rsidR="00900A4E" w:rsidRPr="00900A4E"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sz w:val="24"/>
          <w:szCs w:val="24"/>
        </w:rPr>
        <w:t>Cardona (2015), en su tesis titulada “Diseño de una estrategia de desarrollo sostenible para el municipio de Aquismón, San Luis Potosí 2015-2025” presentado en la ciudad de México DF, investigación de tipo explicativa, cuyo objetivo es elaborar un sistema de desarrollo sostenible para el municipio mencionado en el título de la presente investigación, realizando para esto un estudio de factibilidad técnico económica que permita visualizar los índices de su estructura en los campos que conciernen al desarrollo sostenible ,investigación de enfoque cuantitativo, la muestra para la presente tesis se obtuvo calculando la media poblacional de los ingresos rurales que tienen a nivel nacional las comunidades con más de 100 habitantes, conclusión: se logra elaborar un modelo de diseño para el desarrollo sostenible reuniendo o aplicando técnicas de mejora  y tecnología en las variables que son objetivos de esta investigación es decir en lo social, en lo económico y en lo ambiental buscar que estos se interrelacionen y busquen utilizar todas las técnicas y recursos disponibles y así conseguir el tan ansiado desarrollo sostenible.</w:t>
      </w:r>
    </w:p>
    <w:p w14:paraId="2A10BD2E" w14:textId="3BDF549B" w:rsidR="00900A4E" w:rsidRDefault="00900A4E" w:rsidP="00900A4E">
      <w:pPr>
        <w:spacing w:after="0" w:line="480" w:lineRule="auto"/>
        <w:ind w:right="-285"/>
        <w:jc w:val="both"/>
        <w:rPr>
          <w:rFonts w:ascii="Times New Roman" w:hAnsi="Times New Roman" w:cs="Times New Roman"/>
          <w:sz w:val="24"/>
          <w:szCs w:val="24"/>
        </w:rPr>
      </w:pPr>
      <w:r w:rsidRPr="00900A4E">
        <w:rPr>
          <w:rFonts w:ascii="Times New Roman" w:hAnsi="Times New Roman" w:cs="Times New Roman"/>
          <w:sz w:val="24"/>
          <w:szCs w:val="24"/>
        </w:rPr>
        <w:t>De la Serna (2017), en su informe titulado “20 años de políticas locales de desarrollo sostenible en España” nos dice: apoyado y en todo su contexto  desenvuelta e investigada por la Federación Española de Municipios y Provincias (FEMP) y el  Observatorio de la Sostenibilidad en España (OSE), quienes encabezados por el alcalde de Santander describen como problema que no se trata de si deberán o no deberán hacer políticas de desarrollo sostenible, simplemente manifiestan que es su responsabilidad hacerlo, la apuesta de la FEMP pasa por la puesta en marcha de una agenda de sostenibilidad local amplia e inclusiva, con medidas que van desde la igualdad, la inclusión y cohesión social hasta el desarrollo urbano y la promoción de una economía verde, el objetivo principal de este informe fue el de hacer una recopilación y un balance sobre las políticas de desarrollo sostenible en los últimos 20 años en el país de España, elaborado conjuntamente por la FEMP y el OSE, quienes hacen un amplio estudio de las actuaciones  municipales en materia de sostenibilidad, además, en los contenidos del presente informe del código se estructuran cuatro grandes capítulos: los dos primeros engloban los sistemas y objetivos logrados a nivel internacional en cuestión de calidad y en el tercer capítulo sobre las técnicas y tecnología aplicadas, así como en el último capítulo recopila Información complementaria sobre las políticas de desarrollo sostenible y su repercusión en los Gobiernos Locales españoles, y de esta manera realizar un detallado análisis de los objetivos que se perciben al difundir el presente informe que a la par deberá esclarecer sobre la políticas de sostenibilidad en los municipios españoles a lo largo de todo el territorio español.</w:t>
      </w:r>
    </w:p>
    <w:p w14:paraId="01BD911C" w14:textId="77777777" w:rsidR="00C60B51" w:rsidRDefault="00C60B51" w:rsidP="00900A4E">
      <w:pPr>
        <w:spacing w:after="0" w:line="480" w:lineRule="auto"/>
        <w:ind w:right="-285"/>
        <w:jc w:val="both"/>
        <w:rPr>
          <w:rFonts w:ascii="Times New Roman" w:hAnsi="Times New Roman" w:cs="Times New Roman"/>
          <w:sz w:val="24"/>
          <w:szCs w:val="24"/>
        </w:rPr>
      </w:pPr>
    </w:p>
    <w:p w14:paraId="2B0AEC57" w14:textId="4DE6CB44" w:rsidR="009F3072" w:rsidRPr="007F3901" w:rsidRDefault="009977DA" w:rsidP="00900A4E">
      <w:pPr>
        <w:spacing w:after="0" w:line="480" w:lineRule="auto"/>
        <w:ind w:right="-285"/>
        <w:jc w:val="both"/>
        <w:rPr>
          <w:rFonts w:ascii="Times New Roman" w:hAnsi="Times New Roman" w:cs="Times New Roman"/>
          <w:b/>
          <w:sz w:val="24"/>
          <w:szCs w:val="24"/>
        </w:rPr>
      </w:pPr>
      <w:r w:rsidRPr="007F3901">
        <w:rPr>
          <w:rFonts w:ascii="Times New Roman" w:hAnsi="Times New Roman" w:cs="Times New Roman"/>
          <w:b/>
          <w:sz w:val="24"/>
          <w:szCs w:val="24"/>
        </w:rPr>
        <w:t>MÉTODO</w:t>
      </w:r>
    </w:p>
    <w:p w14:paraId="7A7AD198" w14:textId="16241CFF" w:rsidR="001F2A50" w:rsidRDefault="006D133C" w:rsidP="007F3901">
      <w:pPr>
        <w:spacing w:after="0" w:line="480" w:lineRule="auto"/>
        <w:ind w:right="-285"/>
        <w:jc w:val="both"/>
        <w:rPr>
          <w:rFonts w:ascii="Times New Roman" w:hAnsi="Times New Roman" w:cs="Times New Roman"/>
          <w:sz w:val="24"/>
          <w:szCs w:val="24"/>
        </w:rPr>
      </w:pPr>
      <w:r>
        <w:rPr>
          <w:rFonts w:ascii="Times New Roman" w:hAnsi="Times New Roman" w:cs="Times New Roman"/>
          <w:bCs/>
          <w:sz w:val="24"/>
          <w:szCs w:val="24"/>
        </w:rPr>
        <w:t xml:space="preserve">Para la </w:t>
      </w:r>
      <w:r w:rsidR="00807649" w:rsidRPr="001F2A50">
        <w:rPr>
          <w:rFonts w:ascii="Times New Roman" w:hAnsi="Times New Roman" w:cs="Times New Roman"/>
          <w:bCs/>
          <w:sz w:val="24"/>
          <w:szCs w:val="24"/>
        </w:rPr>
        <w:t xml:space="preserve">investigación </w:t>
      </w:r>
      <w:r w:rsidR="001F2A50" w:rsidRPr="001F2A50">
        <w:rPr>
          <w:rFonts w:ascii="Times New Roman" w:hAnsi="Times New Roman" w:cs="Times New Roman"/>
          <w:bCs/>
          <w:sz w:val="24"/>
          <w:szCs w:val="24"/>
        </w:rPr>
        <w:t>se</w:t>
      </w:r>
      <w:r w:rsidR="00057B97" w:rsidRPr="001F2A50">
        <w:rPr>
          <w:rFonts w:ascii="Times New Roman" w:hAnsi="Times New Roman" w:cs="Times New Roman"/>
          <w:bCs/>
          <w:sz w:val="24"/>
          <w:szCs w:val="24"/>
        </w:rPr>
        <w:t xml:space="preserve"> </w:t>
      </w:r>
      <w:r w:rsidR="001F2A50" w:rsidRPr="001F2A50">
        <w:rPr>
          <w:rFonts w:ascii="Times New Roman" w:hAnsi="Times New Roman" w:cs="Times New Roman"/>
          <w:bCs/>
          <w:sz w:val="24"/>
          <w:szCs w:val="24"/>
        </w:rPr>
        <w:t>aplicó una i</w:t>
      </w:r>
      <w:r w:rsidR="00057B97" w:rsidRPr="001F2A50">
        <w:rPr>
          <w:rFonts w:ascii="Times New Roman" w:hAnsi="Times New Roman" w:cs="Times New Roman"/>
          <w:bCs/>
          <w:sz w:val="24"/>
          <w:szCs w:val="24"/>
        </w:rPr>
        <w:t xml:space="preserve">nvestigación </w:t>
      </w:r>
      <w:r w:rsidR="001F2A50" w:rsidRPr="001F2A50">
        <w:rPr>
          <w:rFonts w:ascii="Times New Roman" w:hAnsi="Times New Roman" w:cs="Times New Roman"/>
          <w:bCs/>
          <w:sz w:val="24"/>
          <w:szCs w:val="24"/>
        </w:rPr>
        <w:t xml:space="preserve">descriptiva, con </w:t>
      </w:r>
      <w:r w:rsidR="001F2A50" w:rsidRPr="001F2A50">
        <w:rPr>
          <w:rFonts w:ascii="Times New Roman" w:hAnsi="Times New Roman" w:cs="Times New Roman"/>
          <w:sz w:val="24"/>
          <w:szCs w:val="24"/>
        </w:rPr>
        <w:t>corte transversal no experimental</w:t>
      </w:r>
      <w:r w:rsidR="001F2A50" w:rsidRPr="001F2A50">
        <w:rPr>
          <w:rFonts w:ascii="Times New Roman" w:hAnsi="Times New Roman" w:cs="Times New Roman"/>
          <w:sz w:val="24"/>
          <w:szCs w:val="24"/>
        </w:rPr>
        <w:t xml:space="preserve"> donde </w:t>
      </w:r>
      <w:r w:rsidR="001F2A50" w:rsidRPr="001F2A50">
        <w:rPr>
          <w:rFonts w:ascii="Times New Roman" w:hAnsi="Times New Roman" w:cs="Times New Roman"/>
          <w:sz w:val="24"/>
          <w:szCs w:val="24"/>
        </w:rPr>
        <w:t>s</w:t>
      </w:r>
      <w:r w:rsidR="001F2A50">
        <w:rPr>
          <w:rFonts w:ascii="Times New Roman" w:hAnsi="Times New Roman" w:cs="Times New Roman"/>
          <w:sz w:val="24"/>
          <w:szCs w:val="24"/>
        </w:rPr>
        <w:t>e</w:t>
      </w:r>
      <w:r w:rsidR="001F2A50" w:rsidRPr="001F2A50">
        <w:rPr>
          <w:rFonts w:ascii="Times New Roman" w:hAnsi="Times New Roman" w:cs="Times New Roman"/>
          <w:sz w:val="24"/>
          <w:szCs w:val="24"/>
        </w:rPr>
        <w:t xml:space="preserve"> observar los fenómenos tal como ocurren en su contexto natural</w:t>
      </w:r>
      <w:r w:rsidR="001F2A50" w:rsidRPr="001F2A50">
        <w:rPr>
          <w:rFonts w:ascii="Times New Roman" w:hAnsi="Times New Roman" w:cs="Times New Roman"/>
          <w:sz w:val="24"/>
          <w:szCs w:val="24"/>
        </w:rPr>
        <w:t>.</w:t>
      </w:r>
      <w:r w:rsidR="001F2A50" w:rsidRPr="001F2A50">
        <w:t xml:space="preserve"> </w:t>
      </w:r>
      <w:r w:rsidR="001F2A50" w:rsidRPr="001F2A50">
        <w:rPr>
          <w:rFonts w:ascii="Times New Roman" w:hAnsi="Times New Roman" w:cs="Times New Roman"/>
          <w:sz w:val="24"/>
          <w:szCs w:val="24"/>
        </w:rPr>
        <w:t>Finalmente, será correlacional porque buscará conocer aquellos elementos que forman parte de las variables y buscará comprender el grado de relación que puede darse entre dos variables</w:t>
      </w:r>
      <w:r w:rsidR="001F2A50">
        <w:rPr>
          <w:rFonts w:ascii="Times New Roman" w:hAnsi="Times New Roman" w:cs="Times New Roman"/>
          <w:sz w:val="24"/>
          <w:szCs w:val="24"/>
        </w:rPr>
        <w:t>.</w:t>
      </w:r>
    </w:p>
    <w:p w14:paraId="63E9AC5C" w14:textId="6558A8FA" w:rsidR="001F2A50" w:rsidRDefault="001F2A50" w:rsidP="007F3901">
      <w:pPr>
        <w:spacing w:after="0" w:line="480" w:lineRule="auto"/>
        <w:ind w:right="-285"/>
        <w:jc w:val="both"/>
        <w:rPr>
          <w:rFonts w:ascii="Times New Roman" w:hAnsi="Times New Roman" w:cs="Times New Roman"/>
          <w:bCs/>
          <w:sz w:val="24"/>
          <w:szCs w:val="24"/>
        </w:rPr>
      </w:pPr>
      <w:r w:rsidRPr="001F2A50">
        <w:rPr>
          <w:rFonts w:ascii="Times New Roman" w:hAnsi="Times New Roman" w:cs="Times New Roman"/>
          <w:bCs/>
          <w:sz w:val="24"/>
          <w:szCs w:val="24"/>
        </w:rPr>
        <w:t>La presente investigación tiene como universo de estudio a las personas que laboran en empresas mineras.</w:t>
      </w:r>
    </w:p>
    <w:p w14:paraId="615CA411" w14:textId="3A7A227B" w:rsidR="001F2A50" w:rsidRDefault="001F2A50" w:rsidP="007F3901">
      <w:pPr>
        <w:pStyle w:val="Default"/>
        <w:spacing w:line="480" w:lineRule="auto"/>
        <w:ind w:right="-285"/>
        <w:jc w:val="both"/>
        <w:rPr>
          <w:rFonts w:ascii="Times New Roman" w:hAnsi="Times New Roman" w:cs="Times New Roman"/>
          <w:color w:val="auto"/>
        </w:rPr>
      </w:pPr>
      <w:r w:rsidRPr="001F2A50">
        <w:rPr>
          <w:rFonts w:ascii="Times New Roman" w:hAnsi="Times New Roman" w:cs="Times New Roman"/>
          <w:color w:val="auto"/>
        </w:rPr>
        <w:t>El tamaño de la población para la presente investigación estará conformado por un total de 100 personas que laboran en las empresas mineras del Perú.</w:t>
      </w:r>
    </w:p>
    <w:p w14:paraId="6F92F3E7" w14:textId="77777777" w:rsidR="001F2A50" w:rsidRDefault="003123C3" w:rsidP="007F3901">
      <w:pPr>
        <w:pStyle w:val="Default"/>
        <w:spacing w:line="480" w:lineRule="auto"/>
        <w:ind w:right="-285"/>
        <w:jc w:val="both"/>
        <w:rPr>
          <w:rFonts w:ascii="Times New Roman" w:hAnsi="Times New Roman" w:cs="Times New Roman"/>
          <w:color w:val="auto"/>
        </w:rPr>
      </w:pPr>
      <w:r w:rsidRPr="007F3901">
        <w:rPr>
          <w:rFonts w:ascii="Times New Roman" w:hAnsi="Times New Roman" w:cs="Times New Roman"/>
          <w:color w:val="auto"/>
        </w:rPr>
        <w:t xml:space="preserve">La técnica para la </w:t>
      </w:r>
      <w:r w:rsidR="009F3072" w:rsidRPr="007F3901">
        <w:rPr>
          <w:rFonts w:ascii="Times New Roman" w:hAnsi="Times New Roman" w:cs="Times New Roman"/>
          <w:color w:val="auto"/>
        </w:rPr>
        <w:t xml:space="preserve">recolección de datos </w:t>
      </w:r>
      <w:r w:rsidRPr="007F3901">
        <w:rPr>
          <w:rFonts w:ascii="Times New Roman" w:hAnsi="Times New Roman" w:cs="Times New Roman"/>
          <w:color w:val="auto"/>
        </w:rPr>
        <w:t xml:space="preserve">corresponde a </w:t>
      </w:r>
      <w:r w:rsidR="009F3072" w:rsidRPr="007F3901">
        <w:rPr>
          <w:rFonts w:ascii="Times New Roman" w:hAnsi="Times New Roman" w:cs="Times New Roman"/>
          <w:color w:val="auto"/>
        </w:rPr>
        <w:t>la</w:t>
      </w:r>
      <w:r w:rsidR="00004810" w:rsidRPr="007F3901">
        <w:rPr>
          <w:rFonts w:ascii="Times New Roman" w:hAnsi="Times New Roman" w:cs="Times New Roman"/>
          <w:color w:val="auto"/>
        </w:rPr>
        <w:t xml:space="preserve"> Para la Variable (X): </w:t>
      </w:r>
      <w:r w:rsidR="001F2A50">
        <w:rPr>
          <w:rFonts w:ascii="Times New Roman" w:hAnsi="Times New Roman" w:cs="Times New Roman"/>
          <w:color w:val="auto"/>
        </w:rPr>
        <w:t>Principios de desarrollo</w:t>
      </w:r>
      <w:r w:rsidR="00057B97" w:rsidRPr="007F3901">
        <w:rPr>
          <w:rFonts w:ascii="Times New Roman" w:hAnsi="Times New Roman" w:cs="Times New Roman"/>
          <w:color w:val="auto"/>
        </w:rPr>
        <w:t xml:space="preserve"> – </w:t>
      </w:r>
      <w:r w:rsidR="001F2A50" w:rsidRPr="001F2A50">
        <w:rPr>
          <w:rFonts w:ascii="Times New Roman" w:hAnsi="Times New Roman" w:cs="Times New Roman"/>
          <w:color w:val="auto"/>
        </w:rPr>
        <w:t xml:space="preserve">recolección de datos </w:t>
      </w:r>
    </w:p>
    <w:p w14:paraId="4A732E7D" w14:textId="6907E96D" w:rsidR="001F2A50" w:rsidRDefault="00004810" w:rsidP="007F3901">
      <w:pPr>
        <w:pStyle w:val="Default"/>
        <w:spacing w:line="480" w:lineRule="auto"/>
        <w:ind w:right="-285"/>
        <w:jc w:val="both"/>
        <w:rPr>
          <w:rFonts w:ascii="Times New Roman" w:hAnsi="Times New Roman" w:cs="Times New Roman"/>
          <w:color w:val="auto"/>
        </w:rPr>
      </w:pPr>
      <w:r w:rsidRPr="007F3901">
        <w:rPr>
          <w:rFonts w:ascii="Times New Roman" w:hAnsi="Times New Roman" w:cs="Times New Roman"/>
          <w:color w:val="auto"/>
        </w:rPr>
        <w:t xml:space="preserve">La técnica para la recolección de datos corresponde a la Para la Variable (Y): </w:t>
      </w:r>
      <w:r w:rsidR="001F2A50">
        <w:rPr>
          <w:rFonts w:ascii="Times New Roman" w:hAnsi="Times New Roman" w:cs="Times New Roman"/>
          <w:color w:val="auto"/>
        </w:rPr>
        <w:t>Políticas de desarrollo sostenible en la minería</w:t>
      </w:r>
      <w:r w:rsidR="00057B97" w:rsidRPr="007F3901">
        <w:rPr>
          <w:rFonts w:ascii="Times New Roman" w:hAnsi="Times New Roman" w:cs="Times New Roman"/>
          <w:color w:val="auto"/>
        </w:rPr>
        <w:t xml:space="preserve"> – </w:t>
      </w:r>
      <w:r w:rsidR="001F2A50" w:rsidRPr="001F2A50">
        <w:rPr>
          <w:rFonts w:ascii="Times New Roman" w:hAnsi="Times New Roman" w:cs="Times New Roman"/>
          <w:color w:val="auto"/>
        </w:rPr>
        <w:t xml:space="preserve">recolección de datos </w:t>
      </w:r>
    </w:p>
    <w:p w14:paraId="12207FC1" w14:textId="1A18F4C7" w:rsidR="00004810" w:rsidRPr="007F3901" w:rsidRDefault="00004810" w:rsidP="007F3901">
      <w:pPr>
        <w:pStyle w:val="Default"/>
        <w:spacing w:line="480" w:lineRule="auto"/>
        <w:ind w:right="-285"/>
        <w:jc w:val="both"/>
        <w:rPr>
          <w:rFonts w:ascii="Times New Roman" w:hAnsi="Times New Roman" w:cs="Times New Roman"/>
          <w:color w:val="auto"/>
        </w:rPr>
      </w:pPr>
      <w:r w:rsidRPr="007F3901">
        <w:rPr>
          <w:rFonts w:ascii="Times New Roman" w:hAnsi="Times New Roman" w:cs="Times New Roman"/>
          <w:color w:val="auto"/>
        </w:rPr>
        <w:t>Procedimiento: se consideró:</w:t>
      </w:r>
    </w:p>
    <w:p w14:paraId="236AC280" w14:textId="19B3F69A" w:rsidR="001F2A50" w:rsidRPr="001F2A50" w:rsidRDefault="001F2A50" w:rsidP="001F2A50">
      <w:pPr>
        <w:pStyle w:val="Default"/>
        <w:spacing w:line="480" w:lineRule="auto"/>
        <w:ind w:right="-285"/>
        <w:jc w:val="both"/>
        <w:rPr>
          <w:rFonts w:ascii="Times New Roman" w:hAnsi="Times New Roman" w:cs="Times New Roman"/>
          <w:color w:val="auto"/>
        </w:rPr>
      </w:pPr>
      <w:r w:rsidRPr="001F2A50">
        <w:rPr>
          <w:rFonts w:ascii="Times New Roman" w:hAnsi="Times New Roman" w:cs="Times New Roman"/>
          <w:color w:val="auto"/>
        </w:rPr>
        <w:t>En el procesamiento de datos se utilizó el software estadístico denominado SPSS</w:t>
      </w:r>
      <w:r>
        <w:rPr>
          <w:rFonts w:ascii="Times New Roman" w:hAnsi="Times New Roman" w:cs="Times New Roman"/>
          <w:color w:val="auto"/>
        </w:rPr>
        <w:t>,</w:t>
      </w:r>
      <w:r w:rsidRPr="001F2A50">
        <w:rPr>
          <w:rFonts w:ascii="Times New Roman" w:hAnsi="Times New Roman" w:cs="Times New Roman"/>
          <w:color w:val="auto"/>
        </w:rPr>
        <w:t xml:space="preserve"> versión 25, estadística descriptiva a través de tablas de frecuencias y diagramas de barras.</w:t>
      </w:r>
    </w:p>
    <w:p w14:paraId="51B45F46" w14:textId="77777777" w:rsidR="001F2A50" w:rsidRPr="001F2A50" w:rsidRDefault="001F2A50" w:rsidP="001F2A50">
      <w:pPr>
        <w:pStyle w:val="Default"/>
        <w:spacing w:line="480" w:lineRule="auto"/>
        <w:ind w:right="-285"/>
        <w:jc w:val="both"/>
        <w:rPr>
          <w:rFonts w:ascii="Times New Roman" w:hAnsi="Times New Roman" w:cs="Times New Roman"/>
          <w:color w:val="auto"/>
        </w:rPr>
      </w:pPr>
      <w:r w:rsidRPr="001F2A50">
        <w:rPr>
          <w:rFonts w:ascii="Times New Roman" w:hAnsi="Times New Roman" w:cs="Times New Roman"/>
          <w:color w:val="auto"/>
        </w:rPr>
        <w:t>• Se iniciará con la selección de población y muestra.</w:t>
      </w:r>
    </w:p>
    <w:p w14:paraId="0FB7D1CE" w14:textId="77777777" w:rsidR="001F2A50" w:rsidRPr="001F2A50" w:rsidRDefault="001F2A50" w:rsidP="001F2A50">
      <w:pPr>
        <w:pStyle w:val="Default"/>
        <w:spacing w:line="480" w:lineRule="auto"/>
        <w:ind w:right="-285"/>
        <w:jc w:val="both"/>
        <w:rPr>
          <w:rFonts w:ascii="Times New Roman" w:hAnsi="Times New Roman" w:cs="Times New Roman"/>
          <w:color w:val="auto"/>
        </w:rPr>
      </w:pPr>
      <w:r w:rsidRPr="001F2A50">
        <w:rPr>
          <w:rFonts w:ascii="Times New Roman" w:hAnsi="Times New Roman" w:cs="Times New Roman"/>
          <w:color w:val="auto"/>
        </w:rPr>
        <w:t>• Se seleccionará una muestra aleatoria y se le pedirá que complete los cuestionarios para obtener información relevante para el desarrollo de la propuesta.</w:t>
      </w:r>
    </w:p>
    <w:p w14:paraId="19F8895B" w14:textId="77777777" w:rsidR="001F2A50" w:rsidRPr="001F2A50" w:rsidRDefault="001F2A50" w:rsidP="001F2A50">
      <w:pPr>
        <w:pStyle w:val="Default"/>
        <w:spacing w:line="480" w:lineRule="auto"/>
        <w:ind w:right="-285"/>
        <w:jc w:val="both"/>
        <w:rPr>
          <w:rFonts w:ascii="Times New Roman" w:hAnsi="Times New Roman" w:cs="Times New Roman"/>
          <w:color w:val="auto"/>
        </w:rPr>
      </w:pPr>
      <w:r w:rsidRPr="001F2A50">
        <w:rPr>
          <w:rFonts w:ascii="Times New Roman" w:hAnsi="Times New Roman" w:cs="Times New Roman"/>
          <w:color w:val="auto"/>
        </w:rPr>
        <w:t>• Posteriormente, se tabulará en SPSS y Microsoft Excel, previa elaboración de la hoja de cálculo de la base de datos.</w:t>
      </w:r>
    </w:p>
    <w:p w14:paraId="7B1FB38F" w14:textId="757A0008" w:rsidR="00004810" w:rsidRDefault="001F2A50" w:rsidP="001F2A50">
      <w:pPr>
        <w:pStyle w:val="Default"/>
        <w:spacing w:line="480" w:lineRule="auto"/>
        <w:ind w:right="-285"/>
        <w:jc w:val="both"/>
        <w:rPr>
          <w:rFonts w:ascii="Times New Roman" w:hAnsi="Times New Roman" w:cs="Times New Roman"/>
          <w:color w:val="auto"/>
        </w:rPr>
      </w:pPr>
      <w:r w:rsidRPr="001F2A50">
        <w:rPr>
          <w:rFonts w:ascii="Times New Roman" w:hAnsi="Times New Roman" w:cs="Times New Roman"/>
          <w:color w:val="auto"/>
        </w:rPr>
        <w:t>• Finalmente, se interpretarán los resultados para obtener una visión general de la situación actual y se podrá desarrollar la propuesta en consecuencia.</w:t>
      </w:r>
    </w:p>
    <w:p w14:paraId="3F5EA3B1" w14:textId="0FE2CEE2" w:rsidR="001F2A50" w:rsidRDefault="00004810" w:rsidP="001F2A50">
      <w:pPr>
        <w:pStyle w:val="Default"/>
        <w:spacing w:line="480" w:lineRule="auto"/>
        <w:ind w:right="-285"/>
        <w:jc w:val="both"/>
        <w:rPr>
          <w:rFonts w:ascii="Times New Roman" w:eastAsia="Calibri" w:hAnsi="Times New Roman" w:cs="Times New Roman"/>
        </w:rPr>
      </w:pPr>
      <w:r w:rsidRPr="007F3901">
        <w:rPr>
          <w:rFonts w:ascii="Times New Roman" w:hAnsi="Times New Roman" w:cs="Times New Roman"/>
          <w:b/>
          <w:bCs/>
          <w:color w:val="auto"/>
        </w:rPr>
        <w:t xml:space="preserve">Análisis de Datos: </w:t>
      </w:r>
      <w:r w:rsidR="001F2A50" w:rsidRPr="001F2A50">
        <w:rPr>
          <w:rFonts w:ascii="Times New Roman" w:eastAsia="Calibri" w:hAnsi="Times New Roman" w:cs="Times New Roman"/>
        </w:rPr>
        <w:t>se basa en función a tablas y graficas obtenidos del procesamiento de datos y los resultados son analizados y comparados con otras investigaciones.</w:t>
      </w:r>
    </w:p>
    <w:p w14:paraId="57F80B7E" w14:textId="77777777" w:rsidR="009F3072" w:rsidRPr="007F3901" w:rsidRDefault="009F3072" w:rsidP="00A95271">
      <w:pPr>
        <w:spacing w:after="0" w:line="480" w:lineRule="auto"/>
        <w:jc w:val="both"/>
        <w:rPr>
          <w:rFonts w:ascii="Times New Roman" w:hAnsi="Times New Roman" w:cs="Times New Roman"/>
          <w:b/>
          <w:sz w:val="24"/>
          <w:szCs w:val="24"/>
        </w:rPr>
      </w:pPr>
      <w:r w:rsidRPr="007F3901">
        <w:rPr>
          <w:rFonts w:ascii="Times New Roman" w:hAnsi="Times New Roman" w:cs="Times New Roman"/>
          <w:b/>
          <w:sz w:val="24"/>
          <w:szCs w:val="24"/>
        </w:rPr>
        <w:t>RESULTADOS</w:t>
      </w:r>
    </w:p>
    <w:p w14:paraId="4F94DAA9" w14:textId="77777777" w:rsidR="00EB5E7F" w:rsidRPr="00EB5E7F" w:rsidRDefault="00EB5E7F" w:rsidP="006D133C">
      <w:pPr>
        <w:spacing w:after="0" w:line="480" w:lineRule="auto"/>
        <w:jc w:val="both"/>
        <w:outlineLvl w:val="1"/>
        <w:rPr>
          <w:rFonts w:ascii="Times New Roman" w:eastAsia="Calibri" w:hAnsi="Times New Roman" w:cs="Times New Roman"/>
          <w:b/>
          <w:sz w:val="24"/>
          <w:szCs w:val="22"/>
        </w:rPr>
      </w:pPr>
      <w:r w:rsidRPr="00EB5E7F">
        <w:rPr>
          <w:rFonts w:ascii="Times New Roman" w:eastAsia="Calibri" w:hAnsi="Times New Roman" w:cs="Times New Roman"/>
          <w:b/>
          <w:sz w:val="24"/>
          <w:szCs w:val="22"/>
        </w:rPr>
        <w:t xml:space="preserve">Análisis inferencial </w:t>
      </w:r>
    </w:p>
    <w:p w14:paraId="1C95618F" w14:textId="77777777" w:rsidR="00EB5E7F" w:rsidRPr="00EB5E7F" w:rsidRDefault="00EB5E7F" w:rsidP="00EB5E7F">
      <w:pPr>
        <w:spacing w:after="0" w:line="480" w:lineRule="auto"/>
        <w:ind w:firstLine="720"/>
        <w:contextualSpacing/>
        <w:jc w:val="both"/>
        <w:rPr>
          <w:rFonts w:ascii="Times New Roman" w:eastAsia="Calibri" w:hAnsi="Times New Roman" w:cs="Times New Roman"/>
          <w:b/>
          <w:sz w:val="24"/>
          <w:szCs w:val="24"/>
        </w:rPr>
      </w:pPr>
      <w:r w:rsidRPr="00EB5E7F">
        <w:rPr>
          <w:rFonts w:ascii="Times New Roman" w:eastAsia="Calibri" w:hAnsi="Times New Roman" w:cs="Times New Roman"/>
          <w:b/>
          <w:sz w:val="24"/>
          <w:szCs w:val="24"/>
        </w:rPr>
        <w:t xml:space="preserve">Hipótesis general </w:t>
      </w:r>
    </w:p>
    <w:p w14:paraId="29CC6E76" w14:textId="77777777" w:rsidR="00EB5E7F" w:rsidRPr="00EB5E7F" w:rsidRDefault="00EB5E7F" w:rsidP="00EB5E7F">
      <w:pPr>
        <w:spacing w:after="0" w:line="480" w:lineRule="auto"/>
        <w:ind w:firstLine="720"/>
        <w:contextualSpacing/>
        <w:jc w:val="both"/>
        <w:rPr>
          <w:rFonts w:ascii="Times New Roman" w:eastAsia="Calibri" w:hAnsi="Times New Roman" w:cs="Times New Roman"/>
          <w:b/>
          <w:sz w:val="24"/>
          <w:szCs w:val="24"/>
        </w:rPr>
      </w:pPr>
      <w:r w:rsidRPr="00EB5E7F">
        <w:rPr>
          <w:rFonts w:ascii="Times New Roman" w:eastAsia="Calibri" w:hAnsi="Times New Roman" w:cs="Times New Roman"/>
          <w:b/>
          <w:sz w:val="24"/>
          <w:szCs w:val="24"/>
        </w:rPr>
        <w:t xml:space="preserve">Ho: </w:t>
      </w:r>
      <w:r w:rsidRPr="00EB5E7F">
        <w:rPr>
          <w:rFonts w:ascii="Times New Roman" w:eastAsia="Times New Roman" w:hAnsi="Times New Roman" w:cs="Times New Roman"/>
          <w:sz w:val="24"/>
          <w:szCs w:val="24"/>
          <w:lang w:eastAsia="es-PE"/>
        </w:rPr>
        <w:t>Los principios de desarrollo sostenible como herramienta para los CMA no se relacionan con las políticas de desarrollo sostenible en la minería peruana.</w:t>
      </w:r>
    </w:p>
    <w:p w14:paraId="22B67199" w14:textId="77777777" w:rsidR="00EB5E7F" w:rsidRPr="00EB5E7F" w:rsidRDefault="00EB5E7F" w:rsidP="00EB5E7F">
      <w:pPr>
        <w:spacing w:after="0" w:line="480" w:lineRule="auto"/>
        <w:ind w:firstLine="720"/>
        <w:contextualSpacing/>
        <w:jc w:val="both"/>
        <w:rPr>
          <w:rFonts w:ascii="Times New Roman" w:eastAsia="Calibri" w:hAnsi="Times New Roman" w:cs="Times New Roman"/>
          <w:b/>
          <w:sz w:val="24"/>
          <w:szCs w:val="24"/>
        </w:rPr>
      </w:pPr>
      <w:r w:rsidRPr="00EB5E7F">
        <w:rPr>
          <w:rFonts w:ascii="Times New Roman" w:eastAsia="Calibri" w:hAnsi="Times New Roman" w:cs="Times New Roman"/>
          <w:b/>
          <w:sz w:val="24"/>
          <w:szCs w:val="24"/>
        </w:rPr>
        <w:t>Ha:</w:t>
      </w:r>
      <w:r w:rsidRPr="00EB5E7F">
        <w:rPr>
          <w:rFonts w:ascii="Times New Roman" w:eastAsia="Calibri" w:hAnsi="Times New Roman" w:cs="Times New Roman"/>
          <w:sz w:val="24"/>
          <w:szCs w:val="24"/>
        </w:rPr>
        <w:t xml:space="preserve"> </w:t>
      </w:r>
      <w:r w:rsidRPr="00EB5E7F">
        <w:rPr>
          <w:rFonts w:ascii="Times New Roman" w:eastAsia="Times New Roman" w:hAnsi="Times New Roman" w:cs="Times New Roman"/>
          <w:sz w:val="24"/>
          <w:szCs w:val="24"/>
          <w:lang w:eastAsia="es-PE"/>
        </w:rPr>
        <w:t>Los principios de desarrollo sostenible como herramienta para los CMA se relacionan con las políticas de desarrollo sostenible en la minería peruana.</w:t>
      </w:r>
    </w:p>
    <w:p w14:paraId="4C30AE0F" w14:textId="2D70341D" w:rsidR="00EB5E7F" w:rsidRPr="00EB5E7F" w:rsidRDefault="00EB5E7F" w:rsidP="006D133C">
      <w:pPr>
        <w:keepNext/>
        <w:spacing w:after="0" w:line="240" w:lineRule="auto"/>
        <w:ind w:left="142"/>
        <w:jc w:val="both"/>
        <w:rPr>
          <w:rFonts w:ascii="Times New Roman" w:eastAsia="Calibri" w:hAnsi="Times New Roman" w:cs="Times New Roman"/>
          <w:bCs/>
          <w:i/>
          <w:iCs/>
          <w:sz w:val="18"/>
          <w:szCs w:val="18"/>
        </w:rPr>
      </w:pPr>
      <w:bookmarkStart w:id="3" w:name="_Toc33086453"/>
      <w:bookmarkStart w:id="4" w:name="_Toc33086632"/>
      <w:bookmarkStart w:id="5" w:name="_Toc95394728"/>
      <w:r w:rsidRPr="00EB5E7F">
        <w:rPr>
          <w:rFonts w:ascii="Times New Roman" w:eastAsia="Calibri" w:hAnsi="Times New Roman" w:cs="Times New Roman"/>
          <w:b/>
          <w:iCs/>
          <w:sz w:val="22"/>
          <w:szCs w:val="22"/>
        </w:rPr>
        <w:t>Tabla</w:t>
      </w:r>
      <w:r w:rsidR="006D133C">
        <w:rPr>
          <w:rFonts w:ascii="Times New Roman" w:eastAsia="Calibri" w:hAnsi="Times New Roman" w:cs="Times New Roman"/>
          <w:b/>
          <w:iCs/>
          <w:sz w:val="22"/>
          <w:szCs w:val="22"/>
        </w:rPr>
        <w:tab/>
        <w:t>1</w:t>
      </w:r>
      <w:r w:rsidRPr="00EB5E7F">
        <w:rPr>
          <w:rFonts w:ascii="Times New Roman" w:eastAsia="Calibri" w:hAnsi="Times New Roman" w:cs="Times New Roman"/>
          <w:b/>
          <w:iCs/>
          <w:sz w:val="22"/>
          <w:szCs w:val="22"/>
        </w:rPr>
        <w:t xml:space="preserve">: </w:t>
      </w:r>
      <w:r w:rsidRPr="00EB5E7F">
        <w:rPr>
          <w:rFonts w:ascii="Times New Roman" w:eastAsia="Calibri" w:hAnsi="Times New Roman" w:cs="Times New Roman"/>
          <w:b/>
          <w:iCs/>
          <w:sz w:val="22"/>
          <w:szCs w:val="22"/>
        </w:rPr>
        <w:br/>
      </w:r>
      <w:r w:rsidRPr="00EB5E7F">
        <w:rPr>
          <w:rFonts w:ascii="Times New Roman" w:eastAsia="Calibri" w:hAnsi="Times New Roman" w:cs="Times New Roman"/>
          <w:i/>
          <w:iCs/>
          <w:sz w:val="22"/>
          <w:szCs w:val="22"/>
        </w:rPr>
        <w:t xml:space="preserve">Correlación entre </w:t>
      </w:r>
      <w:bookmarkEnd w:id="3"/>
      <w:bookmarkEnd w:id="4"/>
      <w:r w:rsidRPr="00EB5E7F">
        <w:rPr>
          <w:rFonts w:ascii="Times New Roman" w:eastAsia="Calibri" w:hAnsi="Times New Roman" w:cs="Times New Roman"/>
          <w:bCs/>
          <w:i/>
          <w:iCs/>
          <w:sz w:val="22"/>
          <w:szCs w:val="22"/>
        </w:rPr>
        <w:t>los principios de desarrollo sostenible como herramienta para los CMA y las políticas de desarrollo sostenible en la minería peruana.</w:t>
      </w:r>
      <w:bookmarkEnd w:id="5"/>
    </w:p>
    <w:tbl>
      <w:tblPr>
        <w:tblW w:w="7958"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7"/>
        <w:gridCol w:w="1698"/>
        <w:gridCol w:w="1701"/>
        <w:gridCol w:w="1843"/>
        <w:gridCol w:w="1579"/>
      </w:tblGrid>
      <w:tr w:rsidR="00EB5E7F" w:rsidRPr="00EB5E7F" w14:paraId="1B7A88F3" w14:textId="77777777" w:rsidTr="00E62D63">
        <w:trPr>
          <w:cantSplit/>
        </w:trPr>
        <w:tc>
          <w:tcPr>
            <w:tcW w:w="4536" w:type="dxa"/>
            <w:gridSpan w:val="3"/>
            <w:tcBorders>
              <w:top w:val="nil"/>
              <w:left w:val="nil"/>
              <w:bottom w:val="single" w:sz="8" w:space="0" w:color="152935"/>
              <w:right w:val="nil"/>
            </w:tcBorders>
            <w:shd w:val="clear" w:color="auto" w:fill="auto"/>
            <w:vAlign w:val="bottom"/>
          </w:tcPr>
          <w:p w14:paraId="02924720"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843" w:type="dxa"/>
            <w:tcBorders>
              <w:top w:val="nil"/>
              <w:left w:val="nil"/>
              <w:bottom w:val="single" w:sz="8" w:space="0" w:color="152935"/>
              <w:right w:val="single" w:sz="8" w:space="0" w:color="E0E0E0"/>
            </w:tcBorders>
            <w:shd w:val="clear" w:color="auto" w:fill="auto"/>
            <w:vAlign w:val="bottom"/>
          </w:tcPr>
          <w:p w14:paraId="40BF49A7"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Principios de desarrollo sostenible como herramienta para los CMA</w:t>
            </w:r>
          </w:p>
        </w:tc>
        <w:tc>
          <w:tcPr>
            <w:tcW w:w="1579" w:type="dxa"/>
            <w:tcBorders>
              <w:top w:val="nil"/>
              <w:left w:val="single" w:sz="8" w:space="0" w:color="E0E0E0"/>
              <w:bottom w:val="single" w:sz="8" w:space="0" w:color="152935"/>
              <w:right w:val="nil"/>
            </w:tcBorders>
            <w:shd w:val="clear" w:color="auto" w:fill="auto"/>
            <w:vAlign w:val="center"/>
          </w:tcPr>
          <w:p w14:paraId="057959E6"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Políticas de desarrollo sostenible</w:t>
            </w:r>
          </w:p>
        </w:tc>
      </w:tr>
      <w:tr w:rsidR="00EB5E7F" w:rsidRPr="00EB5E7F" w14:paraId="7D9D7268" w14:textId="77777777" w:rsidTr="00E62D63">
        <w:trPr>
          <w:cantSplit/>
        </w:trPr>
        <w:tc>
          <w:tcPr>
            <w:tcW w:w="1137" w:type="dxa"/>
            <w:vMerge w:val="restart"/>
            <w:tcBorders>
              <w:top w:val="single" w:sz="8" w:space="0" w:color="152935"/>
              <w:left w:val="nil"/>
              <w:bottom w:val="single" w:sz="8" w:space="0" w:color="152935"/>
              <w:right w:val="nil"/>
            </w:tcBorders>
            <w:shd w:val="clear" w:color="auto" w:fill="auto"/>
          </w:tcPr>
          <w:p w14:paraId="46E49530"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Rho de Spearman</w:t>
            </w:r>
          </w:p>
        </w:tc>
        <w:tc>
          <w:tcPr>
            <w:tcW w:w="1698" w:type="dxa"/>
            <w:vMerge w:val="restart"/>
            <w:tcBorders>
              <w:top w:val="single" w:sz="8" w:space="0" w:color="152935"/>
              <w:left w:val="nil"/>
              <w:bottom w:val="nil"/>
              <w:right w:val="nil"/>
            </w:tcBorders>
            <w:shd w:val="clear" w:color="auto" w:fill="auto"/>
            <w:vAlign w:val="center"/>
          </w:tcPr>
          <w:p w14:paraId="4A3C3425"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Principios de desarrollo sostenible como herramienta para los CMA</w:t>
            </w:r>
          </w:p>
        </w:tc>
        <w:tc>
          <w:tcPr>
            <w:tcW w:w="1701" w:type="dxa"/>
            <w:tcBorders>
              <w:top w:val="single" w:sz="8" w:space="0" w:color="152935"/>
              <w:left w:val="nil"/>
              <w:bottom w:val="single" w:sz="8" w:space="0" w:color="AEAEAE"/>
              <w:right w:val="nil"/>
            </w:tcBorders>
            <w:shd w:val="clear" w:color="auto" w:fill="auto"/>
          </w:tcPr>
          <w:p w14:paraId="02A943E4"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Coeficiente de correlación</w:t>
            </w:r>
          </w:p>
        </w:tc>
        <w:tc>
          <w:tcPr>
            <w:tcW w:w="1843" w:type="dxa"/>
            <w:tcBorders>
              <w:top w:val="single" w:sz="8" w:space="0" w:color="152935"/>
              <w:left w:val="nil"/>
              <w:bottom w:val="single" w:sz="8" w:space="0" w:color="AEAEAE"/>
              <w:right w:val="single" w:sz="8" w:space="0" w:color="E0E0E0"/>
            </w:tcBorders>
            <w:shd w:val="clear" w:color="auto" w:fill="auto"/>
          </w:tcPr>
          <w:p w14:paraId="329E2A24"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1,000</w:t>
            </w:r>
          </w:p>
        </w:tc>
        <w:tc>
          <w:tcPr>
            <w:tcW w:w="1579" w:type="dxa"/>
            <w:tcBorders>
              <w:top w:val="single" w:sz="8" w:space="0" w:color="152935"/>
              <w:left w:val="single" w:sz="8" w:space="0" w:color="E0E0E0"/>
              <w:bottom w:val="single" w:sz="8" w:space="0" w:color="AEAEAE"/>
              <w:right w:val="nil"/>
            </w:tcBorders>
            <w:shd w:val="clear" w:color="auto" w:fill="auto"/>
          </w:tcPr>
          <w:p w14:paraId="78C37647"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,538</w:t>
            </w:r>
          </w:p>
        </w:tc>
      </w:tr>
      <w:tr w:rsidR="00EB5E7F" w:rsidRPr="00EB5E7F" w14:paraId="7579E44B" w14:textId="77777777" w:rsidTr="00E62D63">
        <w:trPr>
          <w:cantSplit/>
        </w:trPr>
        <w:tc>
          <w:tcPr>
            <w:tcW w:w="1137" w:type="dxa"/>
            <w:vMerge/>
            <w:tcBorders>
              <w:top w:val="single" w:sz="8" w:space="0" w:color="152935"/>
              <w:left w:val="nil"/>
              <w:bottom w:val="single" w:sz="8" w:space="0" w:color="152935"/>
              <w:right w:val="nil"/>
            </w:tcBorders>
            <w:shd w:val="clear" w:color="auto" w:fill="auto"/>
          </w:tcPr>
          <w:p w14:paraId="1C3B0049"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98" w:type="dxa"/>
            <w:vMerge/>
            <w:tcBorders>
              <w:top w:val="single" w:sz="8" w:space="0" w:color="152935"/>
              <w:left w:val="nil"/>
              <w:bottom w:val="nil"/>
              <w:right w:val="nil"/>
            </w:tcBorders>
            <w:shd w:val="clear" w:color="auto" w:fill="auto"/>
            <w:vAlign w:val="center"/>
          </w:tcPr>
          <w:p w14:paraId="1E86B7C7"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701" w:type="dxa"/>
            <w:tcBorders>
              <w:top w:val="single" w:sz="8" w:space="0" w:color="AEAEAE"/>
              <w:left w:val="nil"/>
              <w:bottom w:val="single" w:sz="8" w:space="0" w:color="AEAEAE"/>
              <w:right w:val="nil"/>
            </w:tcBorders>
            <w:shd w:val="clear" w:color="auto" w:fill="auto"/>
          </w:tcPr>
          <w:p w14:paraId="31451D2B"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Sig. (bilateral)</w:t>
            </w:r>
          </w:p>
        </w:tc>
        <w:tc>
          <w:tcPr>
            <w:tcW w:w="1843" w:type="dxa"/>
            <w:tcBorders>
              <w:top w:val="single" w:sz="8" w:space="0" w:color="AEAEAE"/>
              <w:left w:val="nil"/>
              <w:bottom w:val="single" w:sz="8" w:space="0" w:color="AEAEAE"/>
              <w:right w:val="single" w:sz="8" w:space="0" w:color="E0E0E0"/>
            </w:tcBorders>
            <w:shd w:val="clear" w:color="auto" w:fill="auto"/>
          </w:tcPr>
          <w:p w14:paraId="437CC639"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w:t>
            </w:r>
          </w:p>
        </w:tc>
        <w:tc>
          <w:tcPr>
            <w:tcW w:w="1579" w:type="dxa"/>
            <w:tcBorders>
              <w:top w:val="single" w:sz="8" w:space="0" w:color="AEAEAE"/>
              <w:left w:val="single" w:sz="8" w:space="0" w:color="E0E0E0"/>
              <w:bottom w:val="single" w:sz="8" w:space="0" w:color="AEAEAE"/>
              <w:right w:val="nil"/>
            </w:tcBorders>
            <w:shd w:val="clear" w:color="auto" w:fill="auto"/>
          </w:tcPr>
          <w:p w14:paraId="24CD5D1D"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,004</w:t>
            </w:r>
          </w:p>
        </w:tc>
      </w:tr>
      <w:tr w:rsidR="00EB5E7F" w:rsidRPr="00EB5E7F" w14:paraId="522513C9" w14:textId="77777777" w:rsidTr="00E62D63">
        <w:trPr>
          <w:cantSplit/>
        </w:trPr>
        <w:tc>
          <w:tcPr>
            <w:tcW w:w="1137" w:type="dxa"/>
            <w:vMerge/>
            <w:tcBorders>
              <w:top w:val="single" w:sz="8" w:space="0" w:color="152935"/>
              <w:left w:val="nil"/>
              <w:bottom w:val="single" w:sz="8" w:space="0" w:color="152935"/>
              <w:right w:val="nil"/>
            </w:tcBorders>
            <w:shd w:val="clear" w:color="auto" w:fill="auto"/>
          </w:tcPr>
          <w:p w14:paraId="60380B61"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98" w:type="dxa"/>
            <w:vMerge/>
            <w:tcBorders>
              <w:top w:val="single" w:sz="8" w:space="0" w:color="152935"/>
              <w:left w:val="nil"/>
              <w:bottom w:val="nil"/>
              <w:right w:val="nil"/>
            </w:tcBorders>
            <w:shd w:val="clear" w:color="auto" w:fill="auto"/>
            <w:vAlign w:val="center"/>
          </w:tcPr>
          <w:p w14:paraId="61196513"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701" w:type="dxa"/>
            <w:tcBorders>
              <w:top w:val="single" w:sz="8" w:space="0" w:color="AEAEAE"/>
              <w:left w:val="nil"/>
              <w:bottom w:val="nil"/>
              <w:right w:val="nil"/>
            </w:tcBorders>
            <w:shd w:val="clear" w:color="auto" w:fill="auto"/>
          </w:tcPr>
          <w:p w14:paraId="264765C4"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N</w:t>
            </w:r>
          </w:p>
        </w:tc>
        <w:tc>
          <w:tcPr>
            <w:tcW w:w="1843" w:type="dxa"/>
            <w:tcBorders>
              <w:top w:val="single" w:sz="8" w:space="0" w:color="AEAEAE"/>
              <w:left w:val="nil"/>
              <w:bottom w:val="nil"/>
              <w:right w:val="single" w:sz="8" w:space="0" w:color="E0E0E0"/>
            </w:tcBorders>
            <w:shd w:val="clear" w:color="auto" w:fill="auto"/>
          </w:tcPr>
          <w:p w14:paraId="1C17DE35"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c>
          <w:tcPr>
            <w:tcW w:w="1579" w:type="dxa"/>
            <w:tcBorders>
              <w:top w:val="single" w:sz="8" w:space="0" w:color="AEAEAE"/>
              <w:left w:val="single" w:sz="8" w:space="0" w:color="E0E0E0"/>
              <w:bottom w:val="nil"/>
              <w:right w:val="nil"/>
            </w:tcBorders>
            <w:shd w:val="clear" w:color="auto" w:fill="auto"/>
          </w:tcPr>
          <w:p w14:paraId="5AB44E1A"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r>
      <w:tr w:rsidR="00EB5E7F" w:rsidRPr="00EB5E7F" w14:paraId="7357B97C" w14:textId="77777777" w:rsidTr="00E62D63">
        <w:trPr>
          <w:cantSplit/>
        </w:trPr>
        <w:tc>
          <w:tcPr>
            <w:tcW w:w="1137" w:type="dxa"/>
            <w:vMerge/>
            <w:tcBorders>
              <w:top w:val="single" w:sz="8" w:space="0" w:color="152935"/>
              <w:left w:val="nil"/>
              <w:bottom w:val="single" w:sz="8" w:space="0" w:color="152935"/>
              <w:right w:val="nil"/>
            </w:tcBorders>
            <w:shd w:val="clear" w:color="auto" w:fill="auto"/>
          </w:tcPr>
          <w:p w14:paraId="7374E5C6"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98" w:type="dxa"/>
            <w:vMerge w:val="restart"/>
            <w:tcBorders>
              <w:top w:val="single" w:sz="8" w:space="0" w:color="AEAEAE"/>
              <w:left w:val="nil"/>
              <w:bottom w:val="single" w:sz="8" w:space="0" w:color="152935"/>
              <w:right w:val="nil"/>
            </w:tcBorders>
            <w:shd w:val="clear" w:color="auto" w:fill="auto"/>
            <w:vAlign w:val="center"/>
          </w:tcPr>
          <w:p w14:paraId="669FE260"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Políticas de desarrollo sostenible</w:t>
            </w:r>
          </w:p>
        </w:tc>
        <w:tc>
          <w:tcPr>
            <w:tcW w:w="1701" w:type="dxa"/>
            <w:tcBorders>
              <w:top w:val="single" w:sz="8" w:space="0" w:color="AEAEAE"/>
              <w:left w:val="nil"/>
              <w:bottom w:val="single" w:sz="8" w:space="0" w:color="AEAEAE"/>
              <w:right w:val="nil"/>
            </w:tcBorders>
            <w:shd w:val="clear" w:color="auto" w:fill="auto"/>
          </w:tcPr>
          <w:p w14:paraId="1EBC6A0C"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Coeficiente de correlación</w:t>
            </w:r>
          </w:p>
        </w:tc>
        <w:tc>
          <w:tcPr>
            <w:tcW w:w="1843" w:type="dxa"/>
            <w:tcBorders>
              <w:top w:val="single" w:sz="8" w:space="0" w:color="AEAEAE"/>
              <w:left w:val="nil"/>
              <w:bottom w:val="single" w:sz="8" w:space="0" w:color="AEAEAE"/>
              <w:right w:val="single" w:sz="8" w:space="0" w:color="E0E0E0"/>
            </w:tcBorders>
            <w:shd w:val="clear" w:color="auto" w:fill="auto"/>
          </w:tcPr>
          <w:p w14:paraId="3D3D1AC9"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,538</w:t>
            </w:r>
          </w:p>
        </w:tc>
        <w:tc>
          <w:tcPr>
            <w:tcW w:w="1579" w:type="dxa"/>
            <w:tcBorders>
              <w:top w:val="single" w:sz="8" w:space="0" w:color="AEAEAE"/>
              <w:left w:val="single" w:sz="8" w:space="0" w:color="E0E0E0"/>
              <w:bottom w:val="single" w:sz="8" w:space="0" w:color="AEAEAE"/>
              <w:right w:val="nil"/>
            </w:tcBorders>
            <w:shd w:val="clear" w:color="auto" w:fill="auto"/>
          </w:tcPr>
          <w:p w14:paraId="6C397559"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1,000</w:t>
            </w:r>
          </w:p>
        </w:tc>
      </w:tr>
      <w:tr w:rsidR="00EB5E7F" w:rsidRPr="00EB5E7F" w14:paraId="1D2F7786" w14:textId="77777777" w:rsidTr="00E62D63">
        <w:trPr>
          <w:cantSplit/>
        </w:trPr>
        <w:tc>
          <w:tcPr>
            <w:tcW w:w="1137" w:type="dxa"/>
            <w:vMerge/>
            <w:tcBorders>
              <w:top w:val="single" w:sz="8" w:space="0" w:color="152935"/>
              <w:left w:val="nil"/>
              <w:bottom w:val="single" w:sz="8" w:space="0" w:color="152935"/>
              <w:right w:val="nil"/>
            </w:tcBorders>
            <w:shd w:val="clear" w:color="auto" w:fill="auto"/>
          </w:tcPr>
          <w:p w14:paraId="0773C874"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98" w:type="dxa"/>
            <w:vMerge/>
            <w:tcBorders>
              <w:top w:val="single" w:sz="8" w:space="0" w:color="AEAEAE"/>
              <w:left w:val="nil"/>
              <w:bottom w:val="single" w:sz="8" w:space="0" w:color="152935"/>
              <w:right w:val="nil"/>
            </w:tcBorders>
            <w:shd w:val="clear" w:color="auto" w:fill="auto"/>
          </w:tcPr>
          <w:p w14:paraId="7FDDCE19"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701" w:type="dxa"/>
            <w:tcBorders>
              <w:top w:val="single" w:sz="8" w:space="0" w:color="AEAEAE"/>
              <w:left w:val="nil"/>
              <w:bottom w:val="single" w:sz="8" w:space="0" w:color="AEAEAE"/>
              <w:right w:val="nil"/>
            </w:tcBorders>
            <w:shd w:val="clear" w:color="auto" w:fill="auto"/>
          </w:tcPr>
          <w:p w14:paraId="7B388B9E"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Sig. (bilateral)</w:t>
            </w:r>
          </w:p>
        </w:tc>
        <w:tc>
          <w:tcPr>
            <w:tcW w:w="1843" w:type="dxa"/>
            <w:tcBorders>
              <w:top w:val="single" w:sz="8" w:space="0" w:color="AEAEAE"/>
              <w:left w:val="nil"/>
              <w:bottom w:val="single" w:sz="8" w:space="0" w:color="AEAEAE"/>
              <w:right w:val="single" w:sz="8" w:space="0" w:color="E0E0E0"/>
            </w:tcBorders>
            <w:shd w:val="clear" w:color="auto" w:fill="auto"/>
          </w:tcPr>
          <w:p w14:paraId="43511406"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,004</w:t>
            </w:r>
          </w:p>
        </w:tc>
        <w:tc>
          <w:tcPr>
            <w:tcW w:w="1579" w:type="dxa"/>
            <w:tcBorders>
              <w:top w:val="single" w:sz="8" w:space="0" w:color="AEAEAE"/>
              <w:left w:val="single" w:sz="8" w:space="0" w:color="E0E0E0"/>
              <w:bottom w:val="single" w:sz="8" w:space="0" w:color="AEAEAE"/>
              <w:right w:val="nil"/>
            </w:tcBorders>
            <w:shd w:val="clear" w:color="auto" w:fill="auto"/>
          </w:tcPr>
          <w:p w14:paraId="187A0C1D"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w:t>
            </w:r>
          </w:p>
        </w:tc>
      </w:tr>
      <w:tr w:rsidR="00EB5E7F" w:rsidRPr="00EB5E7F" w14:paraId="7D52C040" w14:textId="77777777" w:rsidTr="00E62D63">
        <w:trPr>
          <w:cantSplit/>
        </w:trPr>
        <w:tc>
          <w:tcPr>
            <w:tcW w:w="1137" w:type="dxa"/>
            <w:vMerge/>
            <w:tcBorders>
              <w:top w:val="single" w:sz="8" w:space="0" w:color="152935"/>
              <w:left w:val="nil"/>
              <w:bottom w:val="single" w:sz="8" w:space="0" w:color="152935"/>
              <w:right w:val="nil"/>
            </w:tcBorders>
            <w:shd w:val="clear" w:color="auto" w:fill="auto"/>
          </w:tcPr>
          <w:p w14:paraId="410911FE"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98" w:type="dxa"/>
            <w:vMerge/>
            <w:tcBorders>
              <w:top w:val="single" w:sz="8" w:space="0" w:color="AEAEAE"/>
              <w:left w:val="nil"/>
              <w:bottom w:val="single" w:sz="8" w:space="0" w:color="152935"/>
              <w:right w:val="nil"/>
            </w:tcBorders>
            <w:shd w:val="clear" w:color="auto" w:fill="auto"/>
          </w:tcPr>
          <w:p w14:paraId="14040D99"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701" w:type="dxa"/>
            <w:tcBorders>
              <w:top w:val="single" w:sz="8" w:space="0" w:color="AEAEAE"/>
              <w:left w:val="nil"/>
              <w:bottom w:val="single" w:sz="8" w:space="0" w:color="152935"/>
              <w:right w:val="nil"/>
            </w:tcBorders>
            <w:shd w:val="clear" w:color="auto" w:fill="auto"/>
          </w:tcPr>
          <w:p w14:paraId="7A8A75A1"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N</w:t>
            </w:r>
          </w:p>
        </w:tc>
        <w:tc>
          <w:tcPr>
            <w:tcW w:w="1843" w:type="dxa"/>
            <w:tcBorders>
              <w:top w:val="single" w:sz="8" w:space="0" w:color="AEAEAE"/>
              <w:left w:val="nil"/>
              <w:bottom w:val="single" w:sz="8" w:space="0" w:color="152935"/>
              <w:right w:val="single" w:sz="8" w:space="0" w:color="E0E0E0"/>
            </w:tcBorders>
            <w:shd w:val="clear" w:color="auto" w:fill="auto"/>
          </w:tcPr>
          <w:p w14:paraId="2CCF9388"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c>
          <w:tcPr>
            <w:tcW w:w="1579" w:type="dxa"/>
            <w:tcBorders>
              <w:top w:val="single" w:sz="8" w:space="0" w:color="AEAEAE"/>
              <w:left w:val="single" w:sz="8" w:space="0" w:color="E0E0E0"/>
              <w:bottom w:val="single" w:sz="8" w:space="0" w:color="152935"/>
              <w:right w:val="nil"/>
            </w:tcBorders>
            <w:shd w:val="clear" w:color="auto" w:fill="auto"/>
          </w:tcPr>
          <w:p w14:paraId="325B8D91"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r>
    </w:tbl>
    <w:p w14:paraId="6AA64983" w14:textId="77777777" w:rsidR="00EB5E7F" w:rsidRPr="00EB5E7F" w:rsidRDefault="00EB5E7F" w:rsidP="00EB5E7F">
      <w:pPr>
        <w:spacing w:after="0" w:line="480" w:lineRule="auto"/>
        <w:ind w:left="142" w:firstLine="720"/>
        <w:jc w:val="both"/>
        <w:rPr>
          <w:rFonts w:ascii="Times New Roman" w:eastAsia="Calibri" w:hAnsi="Times New Roman" w:cs="Times New Roman"/>
          <w:bCs/>
          <w:sz w:val="24"/>
          <w:szCs w:val="22"/>
          <w:lang w:eastAsia="es-PE"/>
        </w:rPr>
      </w:pPr>
      <w:r w:rsidRPr="00EB5E7F">
        <w:rPr>
          <w:rFonts w:ascii="Times New Roman" w:eastAsia="Calibri" w:hAnsi="Times New Roman" w:cs="Times New Roman"/>
          <w:bCs/>
          <w:sz w:val="24"/>
          <w:szCs w:val="22"/>
          <w:lang w:eastAsia="es-PE"/>
        </w:rPr>
        <w:t>Fuente: Elaboración Propia</w:t>
      </w:r>
    </w:p>
    <w:p w14:paraId="085F26F2" w14:textId="77777777" w:rsidR="00EB5E7F" w:rsidRPr="00EB5E7F" w:rsidRDefault="00EB5E7F" w:rsidP="00EB5E7F">
      <w:pPr>
        <w:spacing w:after="0" w:line="480" w:lineRule="auto"/>
        <w:ind w:left="142" w:firstLine="425"/>
        <w:contextualSpacing/>
        <w:jc w:val="both"/>
        <w:rPr>
          <w:rFonts w:ascii="Times New Roman" w:eastAsia="Times New Roman" w:hAnsi="Times New Roman" w:cs="Times New Roman"/>
          <w:bCs/>
          <w:sz w:val="24"/>
          <w:szCs w:val="24"/>
          <w:lang w:eastAsia="es-PE"/>
        </w:rPr>
      </w:pPr>
      <w:r w:rsidRPr="00EB5E7F">
        <w:rPr>
          <w:rFonts w:ascii="Times New Roman" w:eastAsia="Calibri" w:hAnsi="Times New Roman" w:cs="Times New Roman"/>
          <w:b/>
          <w:i/>
          <w:sz w:val="24"/>
          <w:szCs w:val="24"/>
        </w:rPr>
        <w:t>Interpretación:</w:t>
      </w:r>
      <w:r w:rsidRPr="00EB5E7F">
        <w:rPr>
          <w:rFonts w:ascii="Times New Roman" w:eastAsia="Calibri" w:hAnsi="Times New Roman" w:cs="Times New Roman"/>
          <w:i/>
          <w:sz w:val="24"/>
          <w:szCs w:val="24"/>
        </w:rPr>
        <w:t xml:space="preserve"> </w:t>
      </w:r>
      <w:r w:rsidRPr="00EB5E7F">
        <w:rPr>
          <w:rFonts w:ascii="Times New Roman" w:eastAsia="Calibri" w:hAnsi="Times New Roman" w:cs="Times New Roman"/>
          <w:sz w:val="24"/>
          <w:szCs w:val="24"/>
        </w:rPr>
        <w:t xml:space="preserve">Según los resultados obtenidos para comprobar la hipótesis general se ha obtenido que el coeficiente de correlación Rho de Spearman, que tiene el valor de 0.538** y </w:t>
      </w:r>
      <w:proofErr w:type="gramStart"/>
      <w:r w:rsidRPr="00EB5E7F">
        <w:rPr>
          <w:rFonts w:ascii="Times New Roman" w:eastAsia="Calibri" w:hAnsi="Times New Roman" w:cs="Times New Roman"/>
          <w:sz w:val="24"/>
          <w:szCs w:val="24"/>
        </w:rPr>
        <w:t>el sigma</w:t>
      </w:r>
      <w:proofErr w:type="gramEnd"/>
      <w:r w:rsidRPr="00EB5E7F">
        <w:rPr>
          <w:rFonts w:ascii="Times New Roman" w:eastAsia="Calibri" w:hAnsi="Times New Roman" w:cs="Times New Roman"/>
          <w:sz w:val="24"/>
          <w:szCs w:val="24"/>
        </w:rPr>
        <w:t xml:space="preserve"> (bilateral) es de 0,004 el mismo que es menor al parámetro teórico de 0,05 lo que nos permite afirmar que la hipótesis alterna se cumple entonces: </w:t>
      </w:r>
      <w:r w:rsidRPr="00EB5E7F">
        <w:rPr>
          <w:rFonts w:ascii="Times New Roman" w:eastAsia="Times New Roman" w:hAnsi="Times New Roman" w:cs="Times New Roman"/>
          <w:bCs/>
          <w:sz w:val="24"/>
          <w:szCs w:val="24"/>
          <w:lang w:eastAsia="es-PE"/>
        </w:rPr>
        <w:t>Los principios de desarrollo sostenible como herramienta para los CMA se relacionan con las políticas de desarrollo sostenible en la minería peruana.</w:t>
      </w:r>
    </w:p>
    <w:p w14:paraId="261B82CB" w14:textId="77777777" w:rsidR="006D133C" w:rsidRDefault="006D133C" w:rsidP="006D133C">
      <w:pPr>
        <w:spacing w:after="0" w:line="480" w:lineRule="auto"/>
        <w:jc w:val="both"/>
        <w:rPr>
          <w:rFonts w:ascii="Times New Roman" w:eastAsia="Calibri" w:hAnsi="Times New Roman" w:cs="Times New Roman"/>
          <w:sz w:val="24"/>
          <w:szCs w:val="24"/>
        </w:rPr>
      </w:pPr>
      <w:bookmarkStart w:id="6" w:name="_Toc524611901"/>
      <w:bookmarkStart w:id="7" w:name="_Toc502052210"/>
    </w:p>
    <w:p w14:paraId="1D2580C1" w14:textId="77777777" w:rsidR="006D133C" w:rsidRDefault="006D133C" w:rsidP="006D133C">
      <w:pPr>
        <w:spacing w:after="0" w:line="480" w:lineRule="auto"/>
        <w:jc w:val="both"/>
        <w:rPr>
          <w:rFonts w:ascii="Times New Roman" w:eastAsia="Calibri" w:hAnsi="Times New Roman" w:cs="Times New Roman"/>
          <w:sz w:val="24"/>
          <w:szCs w:val="24"/>
        </w:rPr>
      </w:pPr>
    </w:p>
    <w:p w14:paraId="3C3D4DF4" w14:textId="77777777" w:rsidR="006D133C" w:rsidRDefault="006D133C" w:rsidP="006D133C">
      <w:pPr>
        <w:spacing w:after="0" w:line="480" w:lineRule="auto"/>
        <w:jc w:val="both"/>
        <w:rPr>
          <w:rFonts w:ascii="Times New Roman" w:eastAsia="Calibri" w:hAnsi="Times New Roman" w:cs="Times New Roman"/>
          <w:sz w:val="24"/>
          <w:szCs w:val="24"/>
        </w:rPr>
      </w:pPr>
    </w:p>
    <w:p w14:paraId="6D2FB50A" w14:textId="42C93684" w:rsidR="00EB5E7F" w:rsidRPr="00EB5E7F" w:rsidRDefault="00EB5E7F" w:rsidP="006D133C">
      <w:pPr>
        <w:spacing w:after="0" w:line="480" w:lineRule="auto"/>
        <w:jc w:val="both"/>
        <w:rPr>
          <w:rFonts w:ascii="Times New Roman" w:eastAsia="Times New Roman" w:hAnsi="Times New Roman" w:cs="Times New Roman"/>
          <w:b/>
          <w:sz w:val="24"/>
          <w:szCs w:val="24"/>
        </w:rPr>
      </w:pPr>
      <w:r w:rsidRPr="00EB5E7F">
        <w:rPr>
          <w:rFonts w:ascii="Times New Roman" w:eastAsia="Times New Roman" w:hAnsi="Times New Roman" w:cs="Times New Roman"/>
          <w:b/>
          <w:sz w:val="24"/>
          <w:szCs w:val="24"/>
        </w:rPr>
        <w:t xml:space="preserve">Hipótesis </w:t>
      </w:r>
      <w:bookmarkEnd w:id="6"/>
      <w:bookmarkEnd w:id="7"/>
      <w:r w:rsidRPr="00EB5E7F">
        <w:rPr>
          <w:rFonts w:ascii="Times New Roman" w:eastAsia="Times New Roman" w:hAnsi="Times New Roman" w:cs="Times New Roman"/>
          <w:b/>
          <w:sz w:val="24"/>
          <w:szCs w:val="24"/>
        </w:rPr>
        <w:t>Especificas</w:t>
      </w:r>
    </w:p>
    <w:p w14:paraId="5A4135F8" w14:textId="77777777" w:rsidR="00EB5E7F" w:rsidRPr="00EB5E7F" w:rsidRDefault="00EB5E7F" w:rsidP="00EB5E7F">
      <w:pPr>
        <w:numPr>
          <w:ilvl w:val="0"/>
          <w:numId w:val="18"/>
        </w:numPr>
        <w:spacing w:after="0" w:line="480" w:lineRule="auto"/>
        <w:ind w:left="0" w:firstLine="0"/>
        <w:jc w:val="both"/>
        <w:rPr>
          <w:rFonts w:ascii="Times New Roman" w:eastAsia="Calibri" w:hAnsi="Times New Roman" w:cs="Times New Roman"/>
          <w:b/>
          <w:i/>
          <w:sz w:val="24"/>
          <w:szCs w:val="24"/>
        </w:rPr>
      </w:pPr>
      <w:r w:rsidRPr="00EB5E7F">
        <w:rPr>
          <w:rFonts w:ascii="Times New Roman" w:eastAsia="Calibri" w:hAnsi="Times New Roman" w:cs="Times New Roman"/>
          <w:b/>
          <w:i/>
          <w:sz w:val="24"/>
          <w:szCs w:val="24"/>
        </w:rPr>
        <w:t>Hipótesis específica 1.</w:t>
      </w:r>
    </w:p>
    <w:p w14:paraId="12C05652" w14:textId="77777777" w:rsidR="00EB5E7F" w:rsidRPr="00EB5E7F" w:rsidRDefault="00EB5E7F" w:rsidP="00EB5E7F">
      <w:pPr>
        <w:tabs>
          <w:tab w:val="left" w:pos="1843"/>
        </w:tabs>
        <w:spacing w:after="0" w:line="480" w:lineRule="auto"/>
        <w:ind w:left="709" w:firstLine="720"/>
        <w:contextualSpacing/>
        <w:jc w:val="both"/>
        <w:rPr>
          <w:rFonts w:ascii="Times New Roman" w:eastAsia="Calibri" w:hAnsi="Times New Roman" w:cs="Times New Roman"/>
          <w:bCs/>
          <w:sz w:val="24"/>
          <w:szCs w:val="24"/>
        </w:rPr>
      </w:pPr>
      <w:r w:rsidRPr="00EB5E7F">
        <w:rPr>
          <w:rFonts w:ascii="Times New Roman" w:eastAsia="Calibri" w:hAnsi="Times New Roman" w:cs="Times New Roman"/>
          <w:b/>
          <w:sz w:val="24"/>
          <w:szCs w:val="24"/>
        </w:rPr>
        <w:t>Ho:</w:t>
      </w:r>
      <w:r w:rsidRPr="00EB5E7F">
        <w:rPr>
          <w:rFonts w:ascii="Times New Roman" w:eastAsia="Times New Roman" w:hAnsi="Times New Roman" w:cs="Times New Roman"/>
          <w:kern w:val="24"/>
          <w:sz w:val="24"/>
          <w:szCs w:val="24"/>
          <w:lang w:val="es-ES" w:eastAsia="es-PE"/>
        </w:rPr>
        <w:t xml:space="preserve"> L</w:t>
      </w:r>
      <w:r w:rsidRPr="00EB5E7F">
        <w:rPr>
          <w:rFonts w:ascii="Times New Roman" w:eastAsia="Calibri" w:hAnsi="Times New Roman" w:cs="Times New Roman"/>
          <w:bCs/>
          <w:sz w:val="24"/>
          <w:szCs w:val="24"/>
        </w:rPr>
        <w:t>a normatividad vigente relacionada con la Minería Peruana se relaciona con las políticas de desarrollo sostenible en la minería peruana.</w:t>
      </w:r>
    </w:p>
    <w:p w14:paraId="77BC387D" w14:textId="77777777" w:rsidR="00EB5E7F" w:rsidRPr="00EB5E7F" w:rsidRDefault="00EB5E7F" w:rsidP="00EB5E7F">
      <w:pPr>
        <w:tabs>
          <w:tab w:val="left" w:pos="1843"/>
        </w:tabs>
        <w:spacing w:after="0" w:line="480" w:lineRule="auto"/>
        <w:ind w:left="709" w:firstLine="720"/>
        <w:contextualSpacing/>
        <w:jc w:val="both"/>
        <w:rPr>
          <w:rFonts w:ascii="Times New Roman" w:eastAsia="Calibri" w:hAnsi="Times New Roman" w:cs="Times New Roman"/>
          <w:bCs/>
          <w:sz w:val="24"/>
          <w:szCs w:val="24"/>
        </w:rPr>
      </w:pPr>
      <w:r w:rsidRPr="00EB5E7F">
        <w:rPr>
          <w:rFonts w:ascii="Times New Roman" w:eastAsia="Calibri" w:hAnsi="Times New Roman" w:cs="Times New Roman"/>
          <w:b/>
          <w:sz w:val="24"/>
          <w:szCs w:val="24"/>
        </w:rPr>
        <w:t>Ha: L</w:t>
      </w:r>
      <w:r w:rsidRPr="00EB5E7F">
        <w:rPr>
          <w:rFonts w:ascii="Times New Roman" w:eastAsia="Calibri" w:hAnsi="Times New Roman" w:cs="Times New Roman"/>
          <w:bCs/>
          <w:sz w:val="24"/>
          <w:szCs w:val="24"/>
        </w:rPr>
        <w:t>a normatividad vigente relacionada con la Minería Peruana se relaciona con las políticas de desarrollo sostenible en la minería peruana.</w:t>
      </w:r>
    </w:p>
    <w:p w14:paraId="0AD0162A" w14:textId="1B8DF58E" w:rsidR="00EB5E7F" w:rsidRPr="00EB5E7F" w:rsidRDefault="00EB5E7F" w:rsidP="006D133C">
      <w:pPr>
        <w:spacing w:after="0" w:line="480" w:lineRule="auto"/>
        <w:ind w:left="707"/>
        <w:jc w:val="both"/>
        <w:rPr>
          <w:rFonts w:ascii="Times New Roman" w:eastAsia="Calibri" w:hAnsi="Times New Roman" w:cs="Times New Roman"/>
          <w:b/>
          <w:i/>
          <w:iCs/>
          <w:sz w:val="24"/>
          <w:szCs w:val="22"/>
        </w:rPr>
      </w:pPr>
      <w:bookmarkStart w:id="8" w:name="_Toc33086454"/>
      <w:bookmarkStart w:id="9" w:name="_Toc33086633"/>
      <w:bookmarkStart w:id="10" w:name="_Toc95394729"/>
      <w:r w:rsidRPr="00EB5E7F">
        <w:rPr>
          <w:rFonts w:ascii="Times New Roman" w:eastAsia="Calibri" w:hAnsi="Times New Roman" w:cs="Times New Roman"/>
          <w:b/>
          <w:sz w:val="24"/>
          <w:szCs w:val="22"/>
        </w:rPr>
        <w:t>Tabla</w:t>
      </w:r>
      <w:r w:rsidR="006D133C" w:rsidRPr="006D133C">
        <w:rPr>
          <w:rFonts w:ascii="Times New Roman" w:eastAsia="Calibri" w:hAnsi="Times New Roman" w:cs="Times New Roman"/>
          <w:b/>
          <w:sz w:val="24"/>
          <w:szCs w:val="22"/>
        </w:rPr>
        <w:tab/>
        <w:t>2</w:t>
      </w:r>
      <w:r w:rsidRPr="00EB5E7F">
        <w:rPr>
          <w:rFonts w:ascii="Times New Roman" w:eastAsia="Calibri" w:hAnsi="Times New Roman" w:cs="Times New Roman"/>
          <w:sz w:val="24"/>
          <w:szCs w:val="22"/>
        </w:rPr>
        <w:t>:</w:t>
      </w:r>
      <w:bookmarkEnd w:id="8"/>
      <w:bookmarkEnd w:id="9"/>
      <w:r w:rsidRPr="00EB5E7F">
        <w:rPr>
          <w:rFonts w:ascii="Times New Roman" w:eastAsia="Calibri" w:hAnsi="Times New Roman" w:cs="Times New Roman"/>
          <w:sz w:val="24"/>
          <w:szCs w:val="22"/>
        </w:rPr>
        <w:t xml:space="preserve"> </w:t>
      </w:r>
      <w:bookmarkStart w:id="11" w:name="_Hlk50720367"/>
      <w:r w:rsidRPr="00EB5E7F">
        <w:rPr>
          <w:rFonts w:ascii="Times New Roman" w:eastAsia="Calibri" w:hAnsi="Times New Roman" w:cs="Times New Roman"/>
          <w:sz w:val="24"/>
          <w:szCs w:val="22"/>
        </w:rPr>
        <w:br/>
      </w:r>
      <w:r w:rsidRPr="00EB5E7F">
        <w:rPr>
          <w:rFonts w:ascii="Times New Roman" w:eastAsia="Calibri" w:hAnsi="Times New Roman" w:cs="Times New Roman"/>
          <w:i/>
          <w:iCs/>
          <w:sz w:val="24"/>
          <w:szCs w:val="22"/>
        </w:rPr>
        <w:t>Correlación entre l</w:t>
      </w:r>
      <w:r w:rsidRPr="00EB5E7F">
        <w:rPr>
          <w:rFonts w:ascii="Times New Roman" w:eastAsia="Calibri" w:hAnsi="Times New Roman" w:cs="Times New Roman"/>
          <w:bCs/>
          <w:i/>
          <w:iCs/>
          <w:sz w:val="24"/>
          <w:szCs w:val="22"/>
        </w:rPr>
        <w:t>a normatividad vigente relacionada con la Minería Peruana y las políticas de desarrollo sostenible en la minería peruana.</w:t>
      </w:r>
      <w:bookmarkEnd w:id="10"/>
    </w:p>
    <w:bookmarkEnd w:id="11"/>
    <w:p w14:paraId="6BEEFB62" w14:textId="77777777" w:rsidR="00EB5E7F" w:rsidRPr="00EB5E7F" w:rsidRDefault="00EB5E7F" w:rsidP="00EB5E7F">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8080"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7"/>
        <w:gridCol w:w="1556"/>
        <w:gridCol w:w="1560"/>
        <w:gridCol w:w="2048"/>
        <w:gridCol w:w="1779"/>
      </w:tblGrid>
      <w:tr w:rsidR="00EB5E7F" w:rsidRPr="00EB5E7F" w14:paraId="0451238C" w14:textId="77777777" w:rsidTr="00E62D63">
        <w:trPr>
          <w:cantSplit/>
        </w:trPr>
        <w:tc>
          <w:tcPr>
            <w:tcW w:w="4253" w:type="dxa"/>
            <w:gridSpan w:val="3"/>
            <w:tcBorders>
              <w:top w:val="nil"/>
              <w:left w:val="nil"/>
              <w:bottom w:val="single" w:sz="8" w:space="0" w:color="152935"/>
              <w:right w:val="nil"/>
            </w:tcBorders>
            <w:shd w:val="clear" w:color="auto" w:fill="auto"/>
            <w:vAlign w:val="bottom"/>
          </w:tcPr>
          <w:p w14:paraId="4A2ECC4C"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2048" w:type="dxa"/>
            <w:tcBorders>
              <w:top w:val="nil"/>
              <w:left w:val="nil"/>
              <w:bottom w:val="single" w:sz="8" w:space="0" w:color="152935"/>
              <w:right w:val="single" w:sz="8" w:space="0" w:color="E0E0E0"/>
            </w:tcBorders>
            <w:shd w:val="clear" w:color="auto" w:fill="auto"/>
            <w:vAlign w:val="center"/>
          </w:tcPr>
          <w:p w14:paraId="00605675"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Normatividad vigente relacionada con la Minería Peruana</w:t>
            </w:r>
          </w:p>
        </w:tc>
        <w:tc>
          <w:tcPr>
            <w:tcW w:w="1779" w:type="dxa"/>
            <w:tcBorders>
              <w:top w:val="nil"/>
              <w:left w:val="single" w:sz="8" w:space="0" w:color="E0E0E0"/>
              <w:bottom w:val="single" w:sz="8" w:space="0" w:color="152935"/>
              <w:right w:val="nil"/>
            </w:tcBorders>
            <w:shd w:val="clear" w:color="auto" w:fill="auto"/>
            <w:vAlign w:val="center"/>
          </w:tcPr>
          <w:p w14:paraId="0AE167A0"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Políticas de desarrollo sostenible</w:t>
            </w:r>
          </w:p>
        </w:tc>
      </w:tr>
      <w:tr w:rsidR="00EB5E7F" w:rsidRPr="00EB5E7F" w14:paraId="21A21589" w14:textId="77777777" w:rsidTr="00E62D63">
        <w:trPr>
          <w:cantSplit/>
        </w:trPr>
        <w:tc>
          <w:tcPr>
            <w:tcW w:w="1137" w:type="dxa"/>
            <w:vMerge w:val="restart"/>
            <w:tcBorders>
              <w:top w:val="single" w:sz="8" w:space="0" w:color="152935"/>
              <w:left w:val="nil"/>
              <w:bottom w:val="single" w:sz="8" w:space="0" w:color="152935"/>
              <w:right w:val="nil"/>
            </w:tcBorders>
            <w:shd w:val="clear" w:color="auto" w:fill="auto"/>
          </w:tcPr>
          <w:p w14:paraId="37CD591D"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Rho de Spearman</w:t>
            </w:r>
          </w:p>
        </w:tc>
        <w:tc>
          <w:tcPr>
            <w:tcW w:w="1556" w:type="dxa"/>
            <w:vMerge w:val="restart"/>
            <w:tcBorders>
              <w:top w:val="single" w:sz="8" w:space="0" w:color="152935"/>
              <w:left w:val="nil"/>
              <w:bottom w:val="nil"/>
              <w:right w:val="nil"/>
            </w:tcBorders>
            <w:shd w:val="clear" w:color="auto" w:fill="auto"/>
          </w:tcPr>
          <w:p w14:paraId="5BE07F02"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Normatividad vigente relacionada con la Minería Peruana</w:t>
            </w:r>
          </w:p>
        </w:tc>
        <w:tc>
          <w:tcPr>
            <w:tcW w:w="1560" w:type="dxa"/>
            <w:tcBorders>
              <w:top w:val="single" w:sz="8" w:space="0" w:color="152935"/>
              <w:left w:val="nil"/>
              <w:bottom w:val="single" w:sz="8" w:space="0" w:color="AEAEAE"/>
              <w:right w:val="nil"/>
            </w:tcBorders>
            <w:shd w:val="clear" w:color="auto" w:fill="auto"/>
          </w:tcPr>
          <w:p w14:paraId="4E7561FE"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Coeficiente de correlación</w:t>
            </w:r>
          </w:p>
        </w:tc>
        <w:tc>
          <w:tcPr>
            <w:tcW w:w="2048" w:type="dxa"/>
            <w:tcBorders>
              <w:top w:val="single" w:sz="8" w:space="0" w:color="152935"/>
              <w:left w:val="nil"/>
              <w:bottom w:val="single" w:sz="8" w:space="0" w:color="AEAEAE"/>
              <w:right w:val="single" w:sz="8" w:space="0" w:color="E0E0E0"/>
            </w:tcBorders>
            <w:shd w:val="clear" w:color="auto" w:fill="auto"/>
          </w:tcPr>
          <w:p w14:paraId="083D2731"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1,000</w:t>
            </w:r>
          </w:p>
        </w:tc>
        <w:tc>
          <w:tcPr>
            <w:tcW w:w="1779" w:type="dxa"/>
            <w:tcBorders>
              <w:top w:val="single" w:sz="8" w:space="0" w:color="152935"/>
              <w:left w:val="single" w:sz="8" w:space="0" w:color="E0E0E0"/>
              <w:bottom w:val="single" w:sz="8" w:space="0" w:color="AEAEAE"/>
              <w:right w:val="nil"/>
            </w:tcBorders>
            <w:shd w:val="clear" w:color="auto" w:fill="auto"/>
          </w:tcPr>
          <w:p w14:paraId="2D153514"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,438</w:t>
            </w:r>
          </w:p>
        </w:tc>
      </w:tr>
      <w:tr w:rsidR="00EB5E7F" w:rsidRPr="00EB5E7F" w14:paraId="69F2BB75" w14:textId="77777777" w:rsidTr="00E62D63">
        <w:trPr>
          <w:cantSplit/>
        </w:trPr>
        <w:tc>
          <w:tcPr>
            <w:tcW w:w="1137" w:type="dxa"/>
            <w:vMerge/>
            <w:tcBorders>
              <w:top w:val="single" w:sz="8" w:space="0" w:color="152935"/>
              <w:left w:val="nil"/>
              <w:bottom w:val="single" w:sz="8" w:space="0" w:color="152935"/>
              <w:right w:val="nil"/>
            </w:tcBorders>
            <w:shd w:val="clear" w:color="auto" w:fill="auto"/>
          </w:tcPr>
          <w:p w14:paraId="6220F75E"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556" w:type="dxa"/>
            <w:vMerge/>
            <w:tcBorders>
              <w:top w:val="single" w:sz="8" w:space="0" w:color="152935"/>
              <w:left w:val="nil"/>
              <w:bottom w:val="nil"/>
              <w:right w:val="nil"/>
            </w:tcBorders>
            <w:shd w:val="clear" w:color="auto" w:fill="auto"/>
          </w:tcPr>
          <w:p w14:paraId="25BEBFBF"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560" w:type="dxa"/>
            <w:tcBorders>
              <w:top w:val="single" w:sz="8" w:space="0" w:color="AEAEAE"/>
              <w:left w:val="nil"/>
              <w:bottom w:val="single" w:sz="8" w:space="0" w:color="AEAEAE"/>
              <w:right w:val="nil"/>
            </w:tcBorders>
            <w:shd w:val="clear" w:color="auto" w:fill="auto"/>
          </w:tcPr>
          <w:p w14:paraId="21CEB9C3"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Sig. (bilateral)</w:t>
            </w:r>
          </w:p>
        </w:tc>
        <w:tc>
          <w:tcPr>
            <w:tcW w:w="2048" w:type="dxa"/>
            <w:tcBorders>
              <w:top w:val="single" w:sz="8" w:space="0" w:color="AEAEAE"/>
              <w:left w:val="nil"/>
              <w:bottom w:val="single" w:sz="8" w:space="0" w:color="AEAEAE"/>
              <w:right w:val="single" w:sz="8" w:space="0" w:color="E0E0E0"/>
            </w:tcBorders>
            <w:shd w:val="clear" w:color="auto" w:fill="auto"/>
          </w:tcPr>
          <w:p w14:paraId="12B92A3C"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w:t>
            </w:r>
          </w:p>
        </w:tc>
        <w:tc>
          <w:tcPr>
            <w:tcW w:w="1779" w:type="dxa"/>
            <w:tcBorders>
              <w:top w:val="single" w:sz="8" w:space="0" w:color="AEAEAE"/>
              <w:left w:val="single" w:sz="8" w:space="0" w:color="E0E0E0"/>
              <w:bottom w:val="single" w:sz="8" w:space="0" w:color="AEAEAE"/>
              <w:right w:val="nil"/>
            </w:tcBorders>
            <w:shd w:val="clear" w:color="auto" w:fill="auto"/>
          </w:tcPr>
          <w:p w14:paraId="649602B5"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,001</w:t>
            </w:r>
          </w:p>
        </w:tc>
      </w:tr>
      <w:tr w:rsidR="00EB5E7F" w:rsidRPr="00EB5E7F" w14:paraId="1FECE262" w14:textId="77777777" w:rsidTr="00E62D63">
        <w:trPr>
          <w:cantSplit/>
        </w:trPr>
        <w:tc>
          <w:tcPr>
            <w:tcW w:w="1137" w:type="dxa"/>
            <w:vMerge/>
            <w:tcBorders>
              <w:top w:val="single" w:sz="8" w:space="0" w:color="152935"/>
              <w:left w:val="nil"/>
              <w:bottom w:val="single" w:sz="8" w:space="0" w:color="152935"/>
              <w:right w:val="nil"/>
            </w:tcBorders>
            <w:shd w:val="clear" w:color="auto" w:fill="auto"/>
          </w:tcPr>
          <w:p w14:paraId="200E7250"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556" w:type="dxa"/>
            <w:vMerge/>
            <w:tcBorders>
              <w:top w:val="single" w:sz="8" w:space="0" w:color="152935"/>
              <w:left w:val="nil"/>
              <w:bottom w:val="nil"/>
              <w:right w:val="nil"/>
            </w:tcBorders>
            <w:shd w:val="clear" w:color="auto" w:fill="auto"/>
          </w:tcPr>
          <w:p w14:paraId="654435BC"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560" w:type="dxa"/>
            <w:tcBorders>
              <w:top w:val="single" w:sz="8" w:space="0" w:color="AEAEAE"/>
              <w:left w:val="nil"/>
              <w:bottom w:val="nil"/>
              <w:right w:val="nil"/>
            </w:tcBorders>
            <w:shd w:val="clear" w:color="auto" w:fill="auto"/>
          </w:tcPr>
          <w:p w14:paraId="04CE62DD"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N</w:t>
            </w:r>
          </w:p>
        </w:tc>
        <w:tc>
          <w:tcPr>
            <w:tcW w:w="2048" w:type="dxa"/>
            <w:tcBorders>
              <w:top w:val="single" w:sz="8" w:space="0" w:color="AEAEAE"/>
              <w:left w:val="nil"/>
              <w:bottom w:val="nil"/>
              <w:right w:val="single" w:sz="8" w:space="0" w:color="E0E0E0"/>
            </w:tcBorders>
            <w:shd w:val="clear" w:color="auto" w:fill="auto"/>
          </w:tcPr>
          <w:p w14:paraId="7CB36B88"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c>
          <w:tcPr>
            <w:tcW w:w="1779" w:type="dxa"/>
            <w:tcBorders>
              <w:top w:val="single" w:sz="8" w:space="0" w:color="AEAEAE"/>
              <w:left w:val="single" w:sz="8" w:space="0" w:color="E0E0E0"/>
              <w:bottom w:val="nil"/>
              <w:right w:val="nil"/>
            </w:tcBorders>
            <w:shd w:val="clear" w:color="auto" w:fill="auto"/>
          </w:tcPr>
          <w:p w14:paraId="0A3149E7"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r>
      <w:tr w:rsidR="00EB5E7F" w:rsidRPr="00EB5E7F" w14:paraId="039A00B2" w14:textId="77777777" w:rsidTr="00E62D63">
        <w:trPr>
          <w:cantSplit/>
        </w:trPr>
        <w:tc>
          <w:tcPr>
            <w:tcW w:w="1137" w:type="dxa"/>
            <w:vMerge/>
            <w:tcBorders>
              <w:top w:val="single" w:sz="8" w:space="0" w:color="152935"/>
              <w:left w:val="nil"/>
              <w:bottom w:val="single" w:sz="8" w:space="0" w:color="152935"/>
              <w:right w:val="nil"/>
            </w:tcBorders>
            <w:shd w:val="clear" w:color="auto" w:fill="auto"/>
          </w:tcPr>
          <w:p w14:paraId="5DB59DAB"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556" w:type="dxa"/>
            <w:vMerge w:val="restart"/>
            <w:tcBorders>
              <w:top w:val="single" w:sz="8" w:space="0" w:color="AEAEAE"/>
              <w:left w:val="nil"/>
              <w:bottom w:val="single" w:sz="8" w:space="0" w:color="152935"/>
              <w:right w:val="nil"/>
            </w:tcBorders>
            <w:shd w:val="clear" w:color="auto" w:fill="auto"/>
          </w:tcPr>
          <w:p w14:paraId="1B6EA1AF"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Políticas de desarrollo sostenible</w:t>
            </w:r>
          </w:p>
        </w:tc>
        <w:tc>
          <w:tcPr>
            <w:tcW w:w="1560" w:type="dxa"/>
            <w:tcBorders>
              <w:top w:val="single" w:sz="8" w:space="0" w:color="AEAEAE"/>
              <w:left w:val="nil"/>
              <w:bottom w:val="single" w:sz="8" w:space="0" w:color="AEAEAE"/>
              <w:right w:val="nil"/>
            </w:tcBorders>
            <w:shd w:val="clear" w:color="auto" w:fill="auto"/>
          </w:tcPr>
          <w:p w14:paraId="7E3D7403"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Coeficiente de correlación</w:t>
            </w:r>
          </w:p>
        </w:tc>
        <w:tc>
          <w:tcPr>
            <w:tcW w:w="2048" w:type="dxa"/>
            <w:tcBorders>
              <w:top w:val="single" w:sz="8" w:space="0" w:color="AEAEAE"/>
              <w:left w:val="nil"/>
              <w:bottom w:val="single" w:sz="8" w:space="0" w:color="AEAEAE"/>
              <w:right w:val="single" w:sz="8" w:space="0" w:color="E0E0E0"/>
            </w:tcBorders>
            <w:shd w:val="clear" w:color="auto" w:fill="auto"/>
          </w:tcPr>
          <w:p w14:paraId="16989532"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,438</w:t>
            </w:r>
          </w:p>
        </w:tc>
        <w:tc>
          <w:tcPr>
            <w:tcW w:w="1779" w:type="dxa"/>
            <w:tcBorders>
              <w:top w:val="single" w:sz="8" w:space="0" w:color="AEAEAE"/>
              <w:left w:val="single" w:sz="8" w:space="0" w:color="E0E0E0"/>
              <w:bottom w:val="single" w:sz="8" w:space="0" w:color="AEAEAE"/>
              <w:right w:val="nil"/>
            </w:tcBorders>
            <w:shd w:val="clear" w:color="auto" w:fill="auto"/>
          </w:tcPr>
          <w:p w14:paraId="76A06D9C"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1,000</w:t>
            </w:r>
          </w:p>
        </w:tc>
      </w:tr>
      <w:tr w:rsidR="00EB5E7F" w:rsidRPr="00EB5E7F" w14:paraId="436F42FD" w14:textId="77777777" w:rsidTr="00E62D63">
        <w:trPr>
          <w:cantSplit/>
        </w:trPr>
        <w:tc>
          <w:tcPr>
            <w:tcW w:w="1137" w:type="dxa"/>
            <w:vMerge/>
            <w:tcBorders>
              <w:top w:val="single" w:sz="8" w:space="0" w:color="152935"/>
              <w:left w:val="nil"/>
              <w:bottom w:val="single" w:sz="8" w:space="0" w:color="152935"/>
              <w:right w:val="nil"/>
            </w:tcBorders>
            <w:shd w:val="clear" w:color="auto" w:fill="auto"/>
          </w:tcPr>
          <w:p w14:paraId="46196C6E"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556" w:type="dxa"/>
            <w:vMerge/>
            <w:tcBorders>
              <w:top w:val="single" w:sz="8" w:space="0" w:color="AEAEAE"/>
              <w:left w:val="nil"/>
              <w:bottom w:val="single" w:sz="8" w:space="0" w:color="152935"/>
              <w:right w:val="nil"/>
            </w:tcBorders>
            <w:shd w:val="clear" w:color="auto" w:fill="auto"/>
          </w:tcPr>
          <w:p w14:paraId="5861818A"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560" w:type="dxa"/>
            <w:tcBorders>
              <w:top w:val="single" w:sz="8" w:space="0" w:color="AEAEAE"/>
              <w:left w:val="nil"/>
              <w:bottom w:val="single" w:sz="8" w:space="0" w:color="AEAEAE"/>
              <w:right w:val="nil"/>
            </w:tcBorders>
            <w:shd w:val="clear" w:color="auto" w:fill="auto"/>
          </w:tcPr>
          <w:p w14:paraId="2FB37336"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Sig. (bilateral)</w:t>
            </w:r>
          </w:p>
        </w:tc>
        <w:tc>
          <w:tcPr>
            <w:tcW w:w="2048" w:type="dxa"/>
            <w:tcBorders>
              <w:top w:val="single" w:sz="8" w:space="0" w:color="AEAEAE"/>
              <w:left w:val="nil"/>
              <w:bottom w:val="single" w:sz="8" w:space="0" w:color="AEAEAE"/>
              <w:right w:val="single" w:sz="8" w:space="0" w:color="E0E0E0"/>
            </w:tcBorders>
            <w:shd w:val="clear" w:color="auto" w:fill="auto"/>
          </w:tcPr>
          <w:p w14:paraId="12579D8F"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,001</w:t>
            </w:r>
          </w:p>
        </w:tc>
        <w:tc>
          <w:tcPr>
            <w:tcW w:w="1779" w:type="dxa"/>
            <w:tcBorders>
              <w:top w:val="single" w:sz="8" w:space="0" w:color="AEAEAE"/>
              <w:left w:val="single" w:sz="8" w:space="0" w:color="E0E0E0"/>
              <w:bottom w:val="single" w:sz="8" w:space="0" w:color="AEAEAE"/>
              <w:right w:val="nil"/>
            </w:tcBorders>
            <w:shd w:val="clear" w:color="auto" w:fill="auto"/>
          </w:tcPr>
          <w:p w14:paraId="4644409B"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w:t>
            </w:r>
          </w:p>
        </w:tc>
      </w:tr>
      <w:tr w:rsidR="00EB5E7F" w:rsidRPr="00EB5E7F" w14:paraId="1C3F3C97" w14:textId="77777777" w:rsidTr="00E62D63">
        <w:trPr>
          <w:cantSplit/>
        </w:trPr>
        <w:tc>
          <w:tcPr>
            <w:tcW w:w="1137" w:type="dxa"/>
            <w:vMerge/>
            <w:tcBorders>
              <w:top w:val="single" w:sz="8" w:space="0" w:color="152935"/>
              <w:left w:val="nil"/>
              <w:bottom w:val="single" w:sz="8" w:space="0" w:color="152935"/>
              <w:right w:val="nil"/>
            </w:tcBorders>
            <w:shd w:val="clear" w:color="auto" w:fill="auto"/>
          </w:tcPr>
          <w:p w14:paraId="1E69C518"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556" w:type="dxa"/>
            <w:vMerge/>
            <w:tcBorders>
              <w:top w:val="single" w:sz="8" w:space="0" w:color="AEAEAE"/>
              <w:left w:val="nil"/>
              <w:bottom w:val="single" w:sz="8" w:space="0" w:color="152935"/>
              <w:right w:val="nil"/>
            </w:tcBorders>
            <w:shd w:val="clear" w:color="auto" w:fill="auto"/>
          </w:tcPr>
          <w:p w14:paraId="5ABAF3BF"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560" w:type="dxa"/>
            <w:tcBorders>
              <w:top w:val="single" w:sz="8" w:space="0" w:color="AEAEAE"/>
              <w:left w:val="nil"/>
              <w:bottom w:val="single" w:sz="8" w:space="0" w:color="152935"/>
              <w:right w:val="nil"/>
            </w:tcBorders>
            <w:shd w:val="clear" w:color="auto" w:fill="auto"/>
          </w:tcPr>
          <w:p w14:paraId="5125D1E8"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N</w:t>
            </w:r>
          </w:p>
        </w:tc>
        <w:tc>
          <w:tcPr>
            <w:tcW w:w="2048" w:type="dxa"/>
            <w:tcBorders>
              <w:top w:val="single" w:sz="8" w:space="0" w:color="AEAEAE"/>
              <w:left w:val="nil"/>
              <w:bottom w:val="single" w:sz="8" w:space="0" w:color="152935"/>
              <w:right w:val="single" w:sz="8" w:space="0" w:color="E0E0E0"/>
            </w:tcBorders>
            <w:shd w:val="clear" w:color="auto" w:fill="auto"/>
          </w:tcPr>
          <w:p w14:paraId="32F2A439"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c>
          <w:tcPr>
            <w:tcW w:w="1779" w:type="dxa"/>
            <w:tcBorders>
              <w:top w:val="single" w:sz="8" w:space="0" w:color="AEAEAE"/>
              <w:left w:val="single" w:sz="8" w:space="0" w:color="E0E0E0"/>
              <w:bottom w:val="single" w:sz="8" w:space="0" w:color="152935"/>
              <w:right w:val="nil"/>
            </w:tcBorders>
            <w:shd w:val="clear" w:color="auto" w:fill="auto"/>
          </w:tcPr>
          <w:p w14:paraId="2192EA9D"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r>
    </w:tbl>
    <w:p w14:paraId="41041F22" w14:textId="77777777" w:rsidR="00EB5E7F" w:rsidRPr="00EB5E7F" w:rsidRDefault="00EB5E7F" w:rsidP="00EB5E7F">
      <w:pPr>
        <w:spacing w:after="0" w:line="480" w:lineRule="auto"/>
        <w:ind w:firstLine="708"/>
        <w:jc w:val="both"/>
        <w:rPr>
          <w:rFonts w:ascii="Times New Roman" w:eastAsia="Calibri" w:hAnsi="Times New Roman" w:cs="Times New Roman"/>
          <w:bCs/>
          <w:sz w:val="24"/>
          <w:szCs w:val="22"/>
          <w:lang w:eastAsia="es-PE"/>
        </w:rPr>
      </w:pPr>
      <w:r w:rsidRPr="00EB5E7F">
        <w:rPr>
          <w:rFonts w:ascii="Times New Roman" w:eastAsia="Calibri" w:hAnsi="Times New Roman" w:cs="Times New Roman"/>
          <w:bCs/>
          <w:sz w:val="24"/>
          <w:szCs w:val="22"/>
          <w:lang w:eastAsia="es-PE"/>
        </w:rPr>
        <w:t>Fuente: Elaboración Propia</w:t>
      </w:r>
    </w:p>
    <w:p w14:paraId="562B309E" w14:textId="77777777" w:rsidR="00EB5E7F" w:rsidRPr="00EB5E7F" w:rsidRDefault="00EB5E7F" w:rsidP="00EB5E7F">
      <w:pPr>
        <w:spacing w:after="0" w:line="480" w:lineRule="auto"/>
        <w:ind w:left="709" w:firstLine="425"/>
        <w:contextualSpacing/>
        <w:jc w:val="both"/>
        <w:rPr>
          <w:rFonts w:ascii="Times New Roman" w:eastAsia="Calibri" w:hAnsi="Times New Roman" w:cs="Times New Roman"/>
          <w:bCs/>
          <w:sz w:val="24"/>
          <w:szCs w:val="24"/>
        </w:rPr>
      </w:pPr>
      <w:r w:rsidRPr="00EB5E7F">
        <w:rPr>
          <w:rFonts w:ascii="Times New Roman" w:eastAsia="Calibri" w:hAnsi="Times New Roman" w:cs="Times New Roman"/>
          <w:b/>
          <w:i/>
          <w:sz w:val="24"/>
          <w:szCs w:val="24"/>
        </w:rPr>
        <w:t>Interpretación:</w:t>
      </w:r>
      <w:r w:rsidRPr="00EB5E7F">
        <w:rPr>
          <w:rFonts w:ascii="Times New Roman" w:eastAsia="Calibri" w:hAnsi="Times New Roman" w:cs="Times New Roman"/>
          <w:i/>
          <w:sz w:val="24"/>
          <w:szCs w:val="24"/>
        </w:rPr>
        <w:t xml:space="preserve"> </w:t>
      </w:r>
      <w:r w:rsidRPr="00EB5E7F">
        <w:rPr>
          <w:rFonts w:ascii="Times New Roman" w:eastAsia="Calibri" w:hAnsi="Times New Roman" w:cs="Times New Roman"/>
          <w:sz w:val="24"/>
          <w:szCs w:val="24"/>
        </w:rPr>
        <w:t xml:space="preserve">Según los resultados obtenidos para comprobar la hipótesis especifica 1 se ha obtenido que el coeficiente de correlación Rho de Spearman, que tiene el valor de 0.438* y </w:t>
      </w:r>
      <w:proofErr w:type="gramStart"/>
      <w:r w:rsidRPr="00EB5E7F">
        <w:rPr>
          <w:rFonts w:ascii="Times New Roman" w:eastAsia="Calibri" w:hAnsi="Times New Roman" w:cs="Times New Roman"/>
          <w:sz w:val="24"/>
          <w:szCs w:val="24"/>
        </w:rPr>
        <w:t>el sigma</w:t>
      </w:r>
      <w:proofErr w:type="gramEnd"/>
      <w:r w:rsidRPr="00EB5E7F">
        <w:rPr>
          <w:rFonts w:ascii="Times New Roman" w:eastAsia="Calibri" w:hAnsi="Times New Roman" w:cs="Times New Roman"/>
          <w:sz w:val="24"/>
          <w:szCs w:val="24"/>
        </w:rPr>
        <w:t xml:space="preserve"> (bilateral) es de 0,001 el mismo que es menor al parámetro teórico de 0,05 lo que nos permite afirmar que la hipótesis alterna se cumple entonces: L</w:t>
      </w:r>
      <w:r w:rsidRPr="00EB5E7F">
        <w:rPr>
          <w:rFonts w:ascii="Times New Roman" w:eastAsia="Calibri" w:hAnsi="Times New Roman" w:cs="Times New Roman"/>
          <w:bCs/>
          <w:sz w:val="24"/>
          <w:szCs w:val="24"/>
        </w:rPr>
        <w:t>a normatividad vigente relacionada con la Minería Peruana se relaciona con las políticas de desarrollo sostenible en la minería peruana.</w:t>
      </w:r>
    </w:p>
    <w:p w14:paraId="51F5125C" w14:textId="77777777" w:rsidR="00EB5E7F" w:rsidRPr="00EB5E7F" w:rsidRDefault="00EB5E7F" w:rsidP="00EB5E7F">
      <w:pPr>
        <w:spacing w:after="0" w:line="480" w:lineRule="auto"/>
        <w:ind w:left="709" w:firstLine="425"/>
        <w:contextualSpacing/>
        <w:jc w:val="both"/>
        <w:rPr>
          <w:rFonts w:ascii="Times New Roman" w:eastAsia="Calibri" w:hAnsi="Times New Roman" w:cs="Times New Roman"/>
          <w:sz w:val="24"/>
          <w:szCs w:val="22"/>
        </w:rPr>
      </w:pPr>
    </w:p>
    <w:p w14:paraId="20C77131" w14:textId="77777777" w:rsidR="00EB5E7F" w:rsidRPr="00EB5E7F" w:rsidRDefault="00EB5E7F" w:rsidP="00EB5E7F">
      <w:pPr>
        <w:numPr>
          <w:ilvl w:val="0"/>
          <w:numId w:val="18"/>
        </w:numPr>
        <w:spacing w:after="0" w:line="480" w:lineRule="auto"/>
        <w:ind w:left="567" w:hanging="425"/>
        <w:contextualSpacing/>
        <w:jc w:val="both"/>
        <w:rPr>
          <w:rFonts w:ascii="Times New Roman" w:eastAsia="Calibri" w:hAnsi="Times New Roman" w:cs="Times New Roman"/>
          <w:b/>
          <w:sz w:val="24"/>
          <w:szCs w:val="24"/>
        </w:rPr>
      </w:pPr>
      <w:r w:rsidRPr="00EB5E7F">
        <w:rPr>
          <w:rFonts w:ascii="Times New Roman" w:eastAsia="Calibri" w:hAnsi="Times New Roman" w:cs="Times New Roman"/>
          <w:b/>
          <w:i/>
          <w:sz w:val="24"/>
          <w:szCs w:val="24"/>
        </w:rPr>
        <w:t>Hipótesis específica 2.</w:t>
      </w:r>
    </w:p>
    <w:p w14:paraId="1E4E2132" w14:textId="77777777" w:rsidR="00EB5E7F" w:rsidRPr="00EB5E7F" w:rsidRDefault="00EB5E7F" w:rsidP="00EB5E7F">
      <w:pPr>
        <w:tabs>
          <w:tab w:val="left" w:pos="1843"/>
        </w:tabs>
        <w:spacing w:after="0" w:line="480" w:lineRule="auto"/>
        <w:ind w:left="567" w:firstLine="720"/>
        <w:contextualSpacing/>
        <w:jc w:val="both"/>
        <w:rPr>
          <w:rFonts w:ascii="Times New Roman" w:eastAsia="Calibri" w:hAnsi="Times New Roman" w:cs="Times New Roman"/>
          <w:bCs/>
          <w:sz w:val="24"/>
          <w:szCs w:val="24"/>
        </w:rPr>
      </w:pPr>
      <w:r w:rsidRPr="00EB5E7F">
        <w:rPr>
          <w:rFonts w:ascii="Times New Roman" w:eastAsia="Calibri" w:hAnsi="Times New Roman" w:cs="Times New Roman"/>
          <w:b/>
          <w:sz w:val="24"/>
          <w:szCs w:val="24"/>
        </w:rPr>
        <w:t>Ho</w:t>
      </w:r>
      <w:r w:rsidRPr="00EB5E7F">
        <w:rPr>
          <w:rFonts w:ascii="Times New Roman" w:eastAsia="Calibri" w:hAnsi="Times New Roman" w:cs="Times New Roman"/>
          <w:sz w:val="24"/>
          <w:szCs w:val="24"/>
        </w:rPr>
        <w:t>: L</w:t>
      </w:r>
      <w:r w:rsidRPr="00EB5E7F">
        <w:rPr>
          <w:rFonts w:ascii="Times New Roman" w:eastAsia="Calibri" w:hAnsi="Times New Roman" w:cs="Times New Roman"/>
          <w:bCs/>
          <w:sz w:val="24"/>
          <w:szCs w:val="24"/>
        </w:rPr>
        <w:t>as Unidades Mineras en Producción clasificada por Estratos Mineros no se relacionan con las políticas de desarrollo sostenible en la minería peruana.</w:t>
      </w:r>
    </w:p>
    <w:p w14:paraId="365C3E13" w14:textId="77777777" w:rsidR="00EB5E7F" w:rsidRPr="00EB5E7F" w:rsidRDefault="00EB5E7F" w:rsidP="00EB5E7F">
      <w:pPr>
        <w:tabs>
          <w:tab w:val="left" w:pos="1843"/>
        </w:tabs>
        <w:spacing w:after="0" w:line="480" w:lineRule="auto"/>
        <w:ind w:left="567" w:firstLine="720"/>
        <w:contextualSpacing/>
        <w:jc w:val="both"/>
        <w:rPr>
          <w:rFonts w:ascii="Times New Roman" w:eastAsia="Calibri" w:hAnsi="Times New Roman" w:cs="Times New Roman"/>
          <w:bCs/>
          <w:sz w:val="24"/>
          <w:szCs w:val="24"/>
        </w:rPr>
      </w:pPr>
      <w:r w:rsidRPr="00EB5E7F">
        <w:rPr>
          <w:rFonts w:ascii="Times New Roman" w:eastAsia="Calibri" w:hAnsi="Times New Roman" w:cs="Times New Roman"/>
          <w:b/>
          <w:sz w:val="24"/>
          <w:szCs w:val="24"/>
        </w:rPr>
        <w:t>Ha</w:t>
      </w:r>
      <w:r w:rsidRPr="00EB5E7F">
        <w:rPr>
          <w:rFonts w:ascii="Times New Roman" w:eastAsia="Calibri" w:hAnsi="Times New Roman" w:cs="Times New Roman"/>
          <w:sz w:val="24"/>
          <w:szCs w:val="24"/>
        </w:rPr>
        <w:t xml:space="preserve">: </w:t>
      </w:r>
      <w:bookmarkStart w:id="12" w:name="_Hlk95385167"/>
      <w:r w:rsidRPr="00EB5E7F">
        <w:rPr>
          <w:rFonts w:ascii="Times New Roman" w:eastAsia="Calibri" w:hAnsi="Times New Roman" w:cs="Times New Roman"/>
          <w:sz w:val="24"/>
          <w:szCs w:val="24"/>
        </w:rPr>
        <w:t>L</w:t>
      </w:r>
      <w:r w:rsidRPr="00EB5E7F">
        <w:rPr>
          <w:rFonts w:ascii="Times New Roman" w:eastAsia="Calibri" w:hAnsi="Times New Roman" w:cs="Times New Roman"/>
          <w:bCs/>
          <w:sz w:val="24"/>
          <w:szCs w:val="24"/>
        </w:rPr>
        <w:t>as Unidades Mineras en Producción clasificada por Estratos Mineros se relacionan con las políticas de desarrollo sostenible en la minería peruana.</w:t>
      </w:r>
      <w:bookmarkEnd w:id="12"/>
    </w:p>
    <w:p w14:paraId="0BC6409D" w14:textId="7DE839F9" w:rsidR="00EB5E7F" w:rsidRPr="00EB5E7F" w:rsidRDefault="00EB5E7F" w:rsidP="006D133C">
      <w:pPr>
        <w:keepNext/>
        <w:spacing w:after="0" w:line="240" w:lineRule="auto"/>
        <w:ind w:left="567"/>
        <w:jc w:val="both"/>
        <w:rPr>
          <w:rFonts w:ascii="Times New Roman" w:eastAsia="Calibri" w:hAnsi="Times New Roman" w:cs="Times New Roman"/>
          <w:i/>
          <w:iCs/>
          <w:sz w:val="24"/>
          <w:szCs w:val="24"/>
        </w:rPr>
      </w:pPr>
      <w:bookmarkStart w:id="13" w:name="_Toc33086455"/>
      <w:bookmarkStart w:id="14" w:name="_Toc33086634"/>
      <w:bookmarkStart w:id="15" w:name="_Toc95394730"/>
      <w:r w:rsidRPr="00EB5E7F">
        <w:rPr>
          <w:rFonts w:ascii="Times New Roman" w:eastAsia="Calibri" w:hAnsi="Times New Roman" w:cs="Times New Roman"/>
          <w:b/>
          <w:bCs/>
          <w:sz w:val="24"/>
          <w:szCs w:val="24"/>
          <w:lang w:eastAsia="es-PE"/>
        </w:rPr>
        <w:t>Tabla</w:t>
      </w:r>
      <w:r w:rsidR="006D133C">
        <w:rPr>
          <w:rFonts w:ascii="Times New Roman" w:eastAsia="Calibri" w:hAnsi="Times New Roman" w:cs="Times New Roman"/>
          <w:b/>
          <w:bCs/>
          <w:sz w:val="24"/>
          <w:szCs w:val="24"/>
          <w:lang w:eastAsia="es-PE"/>
        </w:rPr>
        <w:tab/>
        <w:t>3</w:t>
      </w:r>
      <w:r w:rsidRPr="00EB5E7F">
        <w:rPr>
          <w:rFonts w:ascii="Times New Roman" w:eastAsia="Calibri" w:hAnsi="Times New Roman" w:cs="Times New Roman"/>
          <w:bCs/>
          <w:sz w:val="24"/>
          <w:szCs w:val="24"/>
          <w:lang w:eastAsia="es-PE"/>
        </w:rPr>
        <w:t xml:space="preserve">: </w:t>
      </w:r>
      <w:bookmarkStart w:id="16" w:name="_Hlk50720523"/>
      <w:bookmarkEnd w:id="13"/>
      <w:bookmarkEnd w:id="14"/>
      <w:r w:rsidRPr="00EB5E7F">
        <w:rPr>
          <w:rFonts w:ascii="Times New Roman" w:eastAsia="Calibri" w:hAnsi="Times New Roman" w:cs="Times New Roman"/>
          <w:bCs/>
          <w:sz w:val="24"/>
          <w:szCs w:val="24"/>
          <w:lang w:eastAsia="es-PE"/>
        </w:rPr>
        <w:br/>
      </w:r>
      <w:r w:rsidRPr="00EB5E7F">
        <w:rPr>
          <w:rFonts w:ascii="Times New Roman" w:eastAsia="Calibri" w:hAnsi="Times New Roman" w:cs="Times New Roman"/>
          <w:i/>
          <w:iCs/>
          <w:sz w:val="24"/>
          <w:szCs w:val="24"/>
        </w:rPr>
        <w:t xml:space="preserve">Correlación entre </w:t>
      </w:r>
      <w:r w:rsidRPr="00EB5E7F">
        <w:rPr>
          <w:rFonts w:ascii="Times New Roman" w:eastAsia="Calibri" w:hAnsi="Times New Roman" w:cs="Times New Roman"/>
          <w:bCs/>
          <w:i/>
          <w:iCs/>
          <w:sz w:val="24"/>
          <w:szCs w:val="24"/>
        </w:rPr>
        <w:t>las unidades mineras en producción clasificada por Estratos Mineros y las políticas de desarrollo sostenible en la minería peruana.</w:t>
      </w:r>
      <w:bookmarkEnd w:id="15"/>
    </w:p>
    <w:bookmarkEnd w:id="16"/>
    <w:tbl>
      <w:tblPr>
        <w:tblW w:w="808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8"/>
        <w:gridCol w:w="1841"/>
        <w:gridCol w:w="1984"/>
        <w:gridCol w:w="1560"/>
        <w:gridCol w:w="1417"/>
      </w:tblGrid>
      <w:tr w:rsidR="00EB5E7F" w:rsidRPr="00EB5E7F" w14:paraId="7CB5698E" w14:textId="77777777" w:rsidTr="00E62D63">
        <w:trPr>
          <w:cantSplit/>
        </w:trPr>
        <w:tc>
          <w:tcPr>
            <w:tcW w:w="5103" w:type="dxa"/>
            <w:gridSpan w:val="3"/>
            <w:tcBorders>
              <w:top w:val="nil"/>
              <w:left w:val="nil"/>
              <w:bottom w:val="single" w:sz="8" w:space="0" w:color="152935"/>
              <w:right w:val="nil"/>
            </w:tcBorders>
            <w:shd w:val="clear" w:color="auto" w:fill="auto"/>
            <w:vAlign w:val="bottom"/>
          </w:tcPr>
          <w:p w14:paraId="4FA9751E"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560" w:type="dxa"/>
            <w:tcBorders>
              <w:top w:val="nil"/>
              <w:left w:val="nil"/>
              <w:bottom w:val="single" w:sz="8" w:space="0" w:color="152935"/>
              <w:right w:val="single" w:sz="8" w:space="0" w:color="E0E0E0"/>
            </w:tcBorders>
            <w:shd w:val="clear" w:color="auto" w:fill="auto"/>
            <w:vAlign w:val="bottom"/>
          </w:tcPr>
          <w:p w14:paraId="32FECE93"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Unidades Mineras en Producción clasificada por Estratos</w:t>
            </w:r>
          </w:p>
        </w:tc>
        <w:tc>
          <w:tcPr>
            <w:tcW w:w="1417" w:type="dxa"/>
            <w:tcBorders>
              <w:top w:val="nil"/>
              <w:left w:val="single" w:sz="8" w:space="0" w:color="E0E0E0"/>
              <w:bottom w:val="single" w:sz="8" w:space="0" w:color="152935"/>
              <w:right w:val="nil"/>
            </w:tcBorders>
            <w:shd w:val="clear" w:color="auto" w:fill="auto"/>
            <w:vAlign w:val="bottom"/>
          </w:tcPr>
          <w:p w14:paraId="7447AC99"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Políticas de desarrollo sostenible</w:t>
            </w:r>
          </w:p>
        </w:tc>
      </w:tr>
      <w:tr w:rsidR="00EB5E7F" w:rsidRPr="00EB5E7F" w14:paraId="764D43C7" w14:textId="77777777" w:rsidTr="00E62D63">
        <w:trPr>
          <w:cantSplit/>
        </w:trPr>
        <w:tc>
          <w:tcPr>
            <w:tcW w:w="1278" w:type="dxa"/>
            <w:vMerge w:val="restart"/>
            <w:tcBorders>
              <w:top w:val="single" w:sz="8" w:space="0" w:color="152935"/>
              <w:left w:val="nil"/>
              <w:bottom w:val="single" w:sz="8" w:space="0" w:color="152935"/>
              <w:right w:val="nil"/>
            </w:tcBorders>
            <w:shd w:val="clear" w:color="auto" w:fill="auto"/>
          </w:tcPr>
          <w:p w14:paraId="569F7614"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Rho de Spearman</w:t>
            </w:r>
          </w:p>
        </w:tc>
        <w:tc>
          <w:tcPr>
            <w:tcW w:w="1841" w:type="dxa"/>
            <w:vMerge w:val="restart"/>
            <w:tcBorders>
              <w:top w:val="single" w:sz="8" w:space="0" w:color="152935"/>
              <w:left w:val="nil"/>
              <w:bottom w:val="nil"/>
              <w:right w:val="nil"/>
            </w:tcBorders>
            <w:shd w:val="clear" w:color="auto" w:fill="auto"/>
          </w:tcPr>
          <w:p w14:paraId="3E81C318"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Unidades Mineras en Producción clasificada por Estratos</w:t>
            </w:r>
          </w:p>
        </w:tc>
        <w:tc>
          <w:tcPr>
            <w:tcW w:w="1984" w:type="dxa"/>
            <w:tcBorders>
              <w:top w:val="single" w:sz="8" w:space="0" w:color="152935"/>
              <w:left w:val="nil"/>
              <w:bottom w:val="single" w:sz="8" w:space="0" w:color="AEAEAE"/>
              <w:right w:val="nil"/>
            </w:tcBorders>
            <w:shd w:val="clear" w:color="auto" w:fill="auto"/>
          </w:tcPr>
          <w:p w14:paraId="132643CB"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Coeficiente de correlación</w:t>
            </w:r>
          </w:p>
        </w:tc>
        <w:tc>
          <w:tcPr>
            <w:tcW w:w="1560" w:type="dxa"/>
            <w:tcBorders>
              <w:top w:val="single" w:sz="8" w:space="0" w:color="152935"/>
              <w:left w:val="nil"/>
              <w:bottom w:val="single" w:sz="8" w:space="0" w:color="AEAEAE"/>
              <w:right w:val="single" w:sz="8" w:space="0" w:color="E0E0E0"/>
            </w:tcBorders>
            <w:shd w:val="clear" w:color="auto" w:fill="auto"/>
          </w:tcPr>
          <w:p w14:paraId="3E036E94"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1,000</w:t>
            </w:r>
          </w:p>
        </w:tc>
        <w:tc>
          <w:tcPr>
            <w:tcW w:w="1417" w:type="dxa"/>
            <w:tcBorders>
              <w:top w:val="single" w:sz="8" w:space="0" w:color="152935"/>
              <w:left w:val="single" w:sz="8" w:space="0" w:color="E0E0E0"/>
              <w:bottom w:val="single" w:sz="8" w:space="0" w:color="AEAEAE"/>
              <w:right w:val="nil"/>
            </w:tcBorders>
            <w:shd w:val="clear" w:color="auto" w:fill="auto"/>
          </w:tcPr>
          <w:p w14:paraId="24B60792"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,284</w:t>
            </w:r>
            <w:r w:rsidRPr="00EB5E7F">
              <w:rPr>
                <w:rFonts w:ascii="Times New Roman" w:eastAsia="Calibri" w:hAnsi="Times New Roman" w:cs="Times New Roman"/>
                <w:sz w:val="24"/>
                <w:szCs w:val="24"/>
                <w:vertAlign w:val="superscript"/>
              </w:rPr>
              <w:t>*</w:t>
            </w:r>
          </w:p>
        </w:tc>
      </w:tr>
      <w:tr w:rsidR="00EB5E7F" w:rsidRPr="00EB5E7F" w14:paraId="330755A2" w14:textId="77777777" w:rsidTr="00E62D63">
        <w:trPr>
          <w:cantSplit/>
        </w:trPr>
        <w:tc>
          <w:tcPr>
            <w:tcW w:w="1278" w:type="dxa"/>
            <w:vMerge/>
            <w:tcBorders>
              <w:top w:val="single" w:sz="8" w:space="0" w:color="152935"/>
              <w:left w:val="nil"/>
              <w:bottom w:val="single" w:sz="8" w:space="0" w:color="152935"/>
              <w:right w:val="nil"/>
            </w:tcBorders>
            <w:shd w:val="clear" w:color="auto" w:fill="auto"/>
          </w:tcPr>
          <w:p w14:paraId="0D2E1E09"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841" w:type="dxa"/>
            <w:vMerge/>
            <w:tcBorders>
              <w:top w:val="single" w:sz="8" w:space="0" w:color="152935"/>
              <w:left w:val="nil"/>
              <w:bottom w:val="nil"/>
              <w:right w:val="nil"/>
            </w:tcBorders>
            <w:shd w:val="clear" w:color="auto" w:fill="auto"/>
          </w:tcPr>
          <w:p w14:paraId="3D42F2BF"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984" w:type="dxa"/>
            <w:tcBorders>
              <w:top w:val="single" w:sz="8" w:space="0" w:color="AEAEAE"/>
              <w:left w:val="nil"/>
              <w:bottom w:val="single" w:sz="8" w:space="0" w:color="AEAEAE"/>
              <w:right w:val="nil"/>
            </w:tcBorders>
            <w:shd w:val="clear" w:color="auto" w:fill="auto"/>
          </w:tcPr>
          <w:p w14:paraId="4C675B0F"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Sig. (bilateral)</w:t>
            </w:r>
          </w:p>
        </w:tc>
        <w:tc>
          <w:tcPr>
            <w:tcW w:w="1560" w:type="dxa"/>
            <w:tcBorders>
              <w:top w:val="single" w:sz="8" w:space="0" w:color="AEAEAE"/>
              <w:left w:val="nil"/>
              <w:bottom w:val="single" w:sz="8" w:space="0" w:color="AEAEAE"/>
              <w:right w:val="single" w:sz="8" w:space="0" w:color="E0E0E0"/>
            </w:tcBorders>
            <w:shd w:val="clear" w:color="auto" w:fill="auto"/>
          </w:tcPr>
          <w:p w14:paraId="341D27D7"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w:t>
            </w:r>
          </w:p>
        </w:tc>
        <w:tc>
          <w:tcPr>
            <w:tcW w:w="1417" w:type="dxa"/>
            <w:tcBorders>
              <w:top w:val="single" w:sz="8" w:space="0" w:color="AEAEAE"/>
              <w:left w:val="single" w:sz="8" w:space="0" w:color="E0E0E0"/>
              <w:bottom w:val="single" w:sz="8" w:space="0" w:color="AEAEAE"/>
              <w:right w:val="nil"/>
            </w:tcBorders>
            <w:shd w:val="clear" w:color="auto" w:fill="auto"/>
          </w:tcPr>
          <w:p w14:paraId="5D8E3154"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,014</w:t>
            </w:r>
          </w:p>
        </w:tc>
      </w:tr>
      <w:tr w:rsidR="00EB5E7F" w:rsidRPr="00EB5E7F" w14:paraId="33EF081F" w14:textId="77777777" w:rsidTr="00E62D63">
        <w:trPr>
          <w:cantSplit/>
        </w:trPr>
        <w:tc>
          <w:tcPr>
            <w:tcW w:w="1278" w:type="dxa"/>
            <w:vMerge/>
            <w:tcBorders>
              <w:top w:val="single" w:sz="8" w:space="0" w:color="152935"/>
              <w:left w:val="nil"/>
              <w:bottom w:val="single" w:sz="8" w:space="0" w:color="152935"/>
              <w:right w:val="nil"/>
            </w:tcBorders>
            <w:shd w:val="clear" w:color="auto" w:fill="auto"/>
          </w:tcPr>
          <w:p w14:paraId="3B6CF3D4"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841" w:type="dxa"/>
            <w:vMerge/>
            <w:tcBorders>
              <w:top w:val="single" w:sz="8" w:space="0" w:color="152935"/>
              <w:left w:val="nil"/>
              <w:bottom w:val="nil"/>
              <w:right w:val="nil"/>
            </w:tcBorders>
            <w:shd w:val="clear" w:color="auto" w:fill="auto"/>
          </w:tcPr>
          <w:p w14:paraId="5DD2ECE5"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984" w:type="dxa"/>
            <w:tcBorders>
              <w:top w:val="single" w:sz="8" w:space="0" w:color="AEAEAE"/>
              <w:left w:val="nil"/>
              <w:bottom w:val="nil"/>
              <w:right w:val="nil"/>
            </w:tcBorders>
            <w:shd w:val="clear" w:color="auto" w:fill="auto"/>
          </w:tcPr>
          <w:p w14:paraId="7FD70812"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N</w:t>
            </w:r>
          </w:p>
        </w:tc>
        <w:tc>
          <w:tcPr>
            <w:tcW w:w="1560" w:type="dxa"/>
            <w:tcBorders>
              <w:top w:val="single" w:sz="8" w:space="0" w:color="AEAEAE"/>
              <w:left w:val="nil"/>
              <w:bottom w:val="nil"/>
              <w:right w:val="single" w:sz="8" w:space="0" w:color="E0E0E0"/>
            </w:tcBorders>
            <w:shd w:val="clear" w:color="auto" w:fill="auto"/>
          </w:tcPr>
          <w:p w14:paraId="775D968B"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c>
          <w:tcPr>
            <w:tcW w:w="1417" w:type="dxa"/>
            <w:tcBorders>
              <w:top w:val="single" w:sz="8" w:space="0" w:color="AEAEAE"/>
              <w:left w:val="single" w:sz="8" w:space="0" w:color="E0E0E0"/>
              <w:bottom w:val="nil"/>
              <w:right w:val="nil"/>
            </w:tcBorders>
            <w:shd w:val="clear" w:color="auto" w:fill="auto"/>
          </w:tcPr>
          <w:p w14:paraId="5C654403"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r>
      <w:tr w:rsidR="00EB5E7F" w:rsidRPr="00EB5E7F" w14:paraId="3DA5DE85" w14:textId="77777777" w:rsidTr="00E62D63">
        <w:trPr>
          <w:cantSplit/>
        </w:trPr>
        <w:tc>
          <w:tcPr>
            <w:tcW w:w="1278" w:type="dxa"/>
            <w:vMerge/>
            <w:tcBorders>
              <w:top w:val="single" w:sz="8" w:space="0" w:color="152935"/>
              <w:left w:val="nil"/>
              <w:bottom w:val="single" w:sz="8" w:space="0" w:color="152935"/>
              <w:right w:val="nil"/>
            </w:tcBorders>
            <w:shd w:val="clear" w:color="auto" w:fill="auto"/>
          </w:tcPr>
          <w:p w14:paraId="74176FB7"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841" w:type="dxa"/>
            <w:vMerge w:val="restart"/>
            <w:tcBorders>
              <w:top w:val="single" w:sz="8" w:space="0" w:color="AEAEAE"/>
              <w:left w:val="nil"/>
              <w:bottom w:val="single" w:sz="8" w:space="0" w:color="152935"/>
              <w:right w:val="nil"/>
            </w:tcBorders>
            <w:shd w:val="clear" w:color="auto" w:fill="auto"/>
          </w:tcPr>
          <w:p w14:paraId="4225B33F"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Políticas de desarrollo sostenible</w:t>
            </w:r>
          </w:p>
        </w:tc>
        <w:tc>
          <w:tcPr>
            <w:tcW w:w="1984" w:type="dxa"/>
            <w:tcBorders>
              <w:top w:val="single" w:sz="8" w:space="0" w:color="AEAEAE"/>
              <w:left w:val="nil"/>
              <w:bottom w:val="single" w:sz="8" w:space="0" w:color="AEAEAE"/>
              <w:right w:val="nil"/>
            </w:tcBorders>
            <w:shd w:val="clear" w:color="auto" w:fill="auto"/>
          </w:tcPr>
          <w:p w14:paraId="3B5A43CA"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Coeficiente de correlación</w:t>
            </w:r>
          </w:p>
        </w:tc>
        <w:tc>
          <w:tcPr>
            <w:tcW w:w="1560" w:type="dxa"/>
            <w:tcBorders>
              <w:top w:val="single" w:sz="8" w:space="0" w:color="AEAEAE"/>
              <w:left w:val="nil"/>
              <w:bottom w:val="single" w:sz="8" w:space="0" w:color="AEAEAE"/>
              <w:right w:val="single" w:sz="8" w:space="0" w:color="E0E0E0"/>
            </w:tcBorders>
            <w:shd w:val="clear" w:color="auto" w:fill="auto"/>
          </w:tcPr>
          <w:p w14:paraId="10E7764D"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,284</w:t>
            </w:r>
            <w:r w:rsidRPr="00EB5E7F">
              <w:rPr>
                <w:rFonts w:ascii="Times New Roman" w:eastAsia="Calibri" w:hAnsi="Times New Roman" w:cs="Times New Roman"/>
                <w:sz w:val="24"/>
                <w:szCs w:val="24"/>
                <w:vertAlign w:val="superscript"/>
              </w:rPr>
              <w:t>*</w:t>
            </w:r>
          </w:p>
        </w:tc>
        <w:tc>
          <w:tcPr>
            <w:tcW w:w="1417" w:type="dxa"/>
            <w:tcBorders>
              <w:top w:val="single" w:sz="8" w:space="0" w:color="AEAEAE"/>
              <w:left w:val="single" w:sz="8" w:space="0" w:color="E0E0E0"/>
              <w:bottom w:val="single" w:sz="8" w:space="0" w:color="AEAEAE"/>
              <w:right w:val="nil"/>
            </w:tcBorders>
            <w:shd w:val="clear" w:color="auto" w:fill="auto"/>
          </w:tcPr>
          <w:p w14:paraId="1AB21A41"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1,000</w:t>
            </w:r>
          </w:p>
        </w:tc>
      </w:tr>
      <w:tr w:rsidR="00EB5E7F" w:rsidRPr="00EB5E7F" w14:paraId="748A1C11" w14:textId="77777777" w:rsidTr="00E62D63">
        <w:trPr>
          <w:cantSplit/>
        </w:trPr>
        <w:tc>
          <w:tcPr>
            <w:tcW w:w="1278" w:type="dxa"/>
            <w:vMerge/>
            <w:tcBorders>
              <w:top w:val="single" w:sz="8" w:space="0" w:color="152935"/>
              <w:left w:val="nil"/>
              <w:bottom w:val="single" w:sz="8" w:space="0" w:color="152935"/>
              <w:right w:val="nil"/>
            </w:tcBorders>
            <w:shd w:val="clear" w:color="auto" w:fill="auto"/>
          </w:tcPr>
          <w:p w14:paraId="1F5662EB"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841" w:type="dxa"/>
            <w:vMerge/>
            <w:tcBorders>
              <w:top w:val="single" w:sz="8" w:space="0" w:color="AEAEAE"/>
              <w:left w:val="nil"/>
              <w:bottom w:val="single" w:sz="8" w:space="0" w:color="152935"/>
              <w:right w:val="nil"/>
            </w:tcBorders>
            <w:shd w:val="clear" w:color="auto" w:fill="auto"/>
          </w:tcPr>
          <w:p w14:paraId="501D999A"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984" w:type="dxa"/>
            <w:tcBorders>
              <w:top w:val="single" w:sz="8" w:space="0" w:color="AEAEAE"/>
              <w:left w:val="nil"/>
              <w:bottom w:val="single" w:sz="8" w:space="0" w:color="AEAEAE"/>
              <w:right w:val="nil"/>
            </w:tcBorders>
            <w:shd w:val="clear" w:color="auto" w:fill="auto"/>
          </w:tcPr>
          <w:p w14:paraId="1A9A86AF"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Sig. (bilateral)</w:t>
            </w:r>
          </w:p>
        </w:tc>
        <w:tc>
          <w:tcPr>
            <w:tcW w:w="1560" w:type="dxa"/>
            <w:tcBorders>
              <w:top w:val="single" w:sz="8" w:space="0" w:color="AEAEAE"/>
              <w:left w:val="nil"/>
              <w:bottom w:val="single" w:sz="8" w:space="0" w:color="AEAEAE"/>
              <w:right w:val="single" w:sz="8" w:space="0" w:color="E0E0E0"/>
            </w:tcBorders>
            <w:shd w:val="clear" w:color="auto" w:fill="auto"/>
          </w:tcPr>
          <w:p w14:paraId="352DA3F8"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,014</w:t>
            </w:r>
          </w:p>
        </w:tc>
        <w:tc>
          <w:tcPr>
            <w:tcW w:w="1417" w:type="dxa"/>
            <w:tcBorders>
              <w:top w:val="single" w:sz="8" w:space="0" w:color="AEAEAE"/>
              <w:left w:val="single" w:sz="8" w:space="0" w:color="E0E0E0"/>
              <w:bottom w:val="single" w:sz="8" w:space="0" w:color="AEAEAE"/>
              <w:right w:val="nil"/>
            </w:tcBorders>
            <w:shd w:val="clear" w:color="auto" w:fill="auto"/>
          </w:tcPr>
          <w:p w14:paraId="32F82401"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w:t>
            </w:r>
          </w:p>
        </w:tc>
      </w:tr>
      <w:tr w:rsidR="00EB5E7F" w:rsidRPr="00EB5E7F" w14:paraId="3232F8EE" w14:textId="77777777" w:rsidTr="00E62D63">
        <w:trPr>
          <w:cantSplit/>
        </w:trPr>
        <w:tc>
          <w:tcPr>
            <w:tcW w:w="1278" w:type="dxa"/>
            <w:vMerge/>
            <w:tcBorders>
              <w:top w:val="single" w:sz="8" w:space="0" w:color="152935"/>
              <w:left w:val="nil"/>
              <w:bottom w:val="single" w:sz="8" w:space="0" w:color="152935"/>
              <w:right w:val="nil"/>
            </w:tcBorders>
            <w:shd w:val="clear" w:color="auto" w:fill="auto"/>
          </w:tcPr>
          <w:p w14:paraId="7163B2FB"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841" w:type="dxa"/>
            <w:vMerge/>
            <w:tcBorders>
              <w:top w:val="single" w:sz="8" w:space="0" w:color="AEAEAE"/>
              <w:left w:val="nil"/>
              <w:bottom w:val="single" w:sz="8" w:space="0" w:color="152935"/>
              <w:right w:val="nil"/>
            </w:tcBorders>
            <w:shd w:val="clear" w:color="auto" w:fill="auto"/>
          </w:tcPr>
          <w:p w14:paraId="18D63C4D"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984" w:type="dxa"/>
            <w:tcBorders>
              <w:top w:val="single" w:sz="8" w:space="0" w:color="AEAEAE"/>
              <w:left w:val="nil"/>
              <w:bottom w:val="single" w:sz="8" w:space="0" w:color="152935"/>
              <w:right w:val="nil"/>
            </w:tcBorders>
            <w:shd w:val="clear" w:color="auto" w:fill="auto"/>
          </w:tcPr>
          <w:p w14:paraId="6DD405D9"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N</w:t>
            </w:r>
          </w:p>
        </w:tc>
        <w:tc>
          <w:tcPr>
            <w:tcW w:w="1560" w:type="dxa"/>
            <w:tcBorders>
              <w:top w:val="single" w:sz="8" w:space="0" w:color="AEAEAE"/>
              <w:left w:val="nil"/>
              <w:bottom w:val="single" w:sz="8" w:space="0" w:color="152935"/>
              <w:right w:val="single" w:sz="8" w:space="0" w:color="E0E0E0"/>
            </w:tcBorders>
            <w:shd w:val="clear" w:color="auto" w:fill="auto"/>
          </w:tcPr>
          <w:p w14:paraId="79F158A7"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c>
          <w:tcPr>
            <w:tcW w:w="1417" w:type="dxa"/>
            <w:tcBorders>
              <w:top w:val="single" w:sz="8" w:space="0" w:color="AEAEAE"/>
              <w:left w:val="single" w:sz="8" w:space="0" w:color="E0E0E0"/>
              <w:bottom w:val="single" w:sz="8" w:space="0" w:color="152935"/>
              <w:right w:val="nil"/>
            </w:tcBorders>
            <w:shd w:val="clear" w:color="auto" w:fill="auto"/>
          </w:tcPr>
          <w:p w14:paraId="3AE30491" w14:textId="77777777" w:rsidR="00EB5E7F" w:rsidRPr="00EB5E7F" w:rsidRDefault="00EB5E7F" w:rsidP="006D133C">
            <w:pPr>
              <w:autoSpaceDE w:val="0"/>
              <w:autoSpaceDN w:val="0"/>
              <w:adjustRightInd w:val="0"/>
              <w:spacing w:after="0" w:line="320" w:lineRule="atLeast"/>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r>
      <w:tr w:rsidR="00EB5E7F" w:rsidRPr="00EB5E7F" w14:paraId="4275A742" w14:textId="77777777" w:rsidTr="00E62D63">
        <w:trPr>
          <w:cantSplit/>
        </w:trPr>
        <w:tc>
          <w:tcPr>
            <w:tcW w:w="8080" w:type="dxa"/>
            <w:gridSpan w:val="5"/>
            <w:tcBorders>
              <w:top w:val="nil"/>
              <w:left w:val="nil"/>
              <w:bottom w:val="nil"/>
              <w:right w:val="nil"/>
            </w:tcBorders>
            <w:shd w:val="clear" w:color="auto" w:fill="auto"/>
          </w:tcPr>
          <w:p w14:paraId="68849C86" w14:textId="77777777" w:rsidR="00EB5E7F" w:rsidRPr="00EB5E7F" w:rsidRDefault="00EB5E7F" w:rsidP="00EB5E7F">
            <w:pPr>
              <w:autoSpaceDE w:val="0"/>
              <w:autoSpaceDN w:val="0"/>
              <w:adjustRightInd w:val="0"/>
              <w:spacing w:after="0" w:line="320" w:lineRule="atLeast"/>
              <w:ind w:left="60" w:right="60" w:firstLine="720"/>
              <w:jc w:val="both"/>
              <w:rPr>
                <w:rFonts w:ascii="Times New Roman" w:eastAsia="Calibri" w:hAnsi="Times New Roman" w:cs="Times New Roman"/>
                <w:sz w:val="24"/>
                <w:szCs w:val="24"/>
              </w:rPr>
            </w:pPr>
            <w:r w:rsidRPr="00EB5E7F">
              <w:rPr>
                <w:rFonts w:ascii="Times New Roman" w:eastAsia="Calibri" w:hAnsi="Times New Roman" w:cs="Times New Roman"/>
                <w:sz w:val="24"/>
                <w:szCs w:val="24"/>
              </w:rPr>
              <w:t>*. La correlación es significativa en el nivel 0,05 (bilateral).</w:t>
            </w:r>
          </w:p>
        </w:tc>
      </w:tr>
    </w:tbl>
    <w:p w14:paraId="369E5C01" w14:textId="77777777" w:rsidR="00EB5E7F" w:rsidRPr="00EB5E7F" w:rsidRDefault="00EB5E7F" w:rsidP="00EB5E7F">
      <w:pPr>
        <w:spacing w:after="0" w:line="480" w:lineRule="auto"/>
        <w:ind w:left="567" w:firstLine="720"/>
        <w:jc w:val="both"/>
        <w:rPr>
          <w:rFonts w:ascii="Times New Roman" w:eastAsia="Calibri" w:hAnsi="Times New Roman" w:cs="Times New Roman"/>
          <w:bCs/>
          <w:sz w:val="24"/>
          <w:szCs w:val="22"/>
          <w:lang w:eastAsia="es-PE"/>
        </w:rPr>
      </w:pPr>
      <w:r w:rsidRPr="00EB5E7F">
        <w:rPr>
          <w:rFonts w:ascii="Times New Roman" w:eastAsia="Calibri" w:hAnsi="Times New Roman" w:cs="Times New Roman"/>
          <w:bCs/>
          <w:sz w:val="24"/>
          <w:szCs w:val="22"/>
          <w:lang w:eastAsia="es-PE"/>
        </w:rPr>
        <w:t>Fuente: Elaboración Propia</w:t>
      </w:r>
    </w:p>
    <w:p w14:paraId="743C61B6" w14:textId="77777777" w:rsidR="00EB5E7F" w:rsidRPr="00EB5E7F" w:rsidRDefault="00EB5E7F" w:rsidP="00EB5E7F">
      <w:pPr>
        <w:tabs>
          <w:tab w:val="left" w:pos="1843"/>
        </w:tabs>
        <w:spacing w:after="0" w:line="480" w:lineRule="auto"/>
        <w:ind w:left="709" w:firstLine="720"/>
        <w:contextualSpacing/>
        <w:jc w:val="both"/>
        <w:rPr>
          <w:rFonts w:ascii="Times New Roman" w:eastAsia="Calibri" w:hAnsi="Times New Roman" w:cs="Times New Roman"/>
          <w:b/>
          <w:i/>
          <w:sz w:val="24"/>
          <w:szCs w:val="22"/>
        </w:rPr>
      </w:pPr>
    </w:p>
    <w:p w14:paraId="4B7D6AAB" w14:textId="77777777" w:rsidR="00EB5E7F" w:rsidRPr="00EB5E7F" w:rsidRDefault="00EB5E7F" w:rsidP="00EB5E7F">
      <w:pPr>
        <w:tabs>
          <w:tab w:val="left" w:pos="1843"/>
        </w:tabs>
        <w:spacing w:after="0" w:line="480" w:lineRule="auto"/>
        <w:ind w:left="709" w:firstLine="720"/>
        <w:contextualSpacing/>
        <w:jc w:val="both"/>
        <w:rPr>
          <w:rFonts w:ascii="Times New Roman" w:eastAsia="Calibri" w:hAnsi="Times New Roman" w:cs="Times New Roman"/>
          <w:sz w:val="24"/>
          <w:szCs w:val="24"/>
        </w:rPr>
      </w:pPr>
      <w:r w:rsidRPr="00EB5E7F">
        <w:rPr>
          <w:rFonts w:ascii="Times New Roman" w:eastAsia="Calibri" w:hAnsi="Times New Roman" w:cs="Times New Roman"/>
          <w:b/>
          <w:i/>
          <w:sz w:val="24"/>
          <w:szCs w:val="24"/>
        </w:rPr>
        <w:t>Interpretación:</w:t>
      </w:r>
      <w:r w:rsidRPr="00EB5E7F">
        <w:rPr>
          <w:rFonts w:ascii="Times New Roman" w:eastAsia="Calibri" w:hAnsi="Times New Roman" w:cs="Times New Roman"/>
          <w:i/>
          <w:sz w:val="24"/>
          <w:szCs w:val="24"/>
        </w:rPr>
        <w:t xml:space="preserve"> </w:t>
      </w:r>
      <w:r w:rsidRPr="00EB5E7F">
        <w:rPr>
          <w:rFonts w:ascii="Times New Roman" w:eastAsia="Calibri" w:hAnsi="Times New Roman" w:cs="Times New Roman"/>
          <w:sz w:val="24"/>
          <w:szCs w:val="24"/>
        </w:rPr>
        <w:t xml:space="preserve">Según los resultados obtenidos para comprobar la hipótesis especifica 2 se ha obtenido que el coeficiente de correlación Rho de Spearman, que tiene el valor de 0.284* y </w:t>
      </w:r>
      <w:proofErr w:type="gramStart"/>
      <w:r w:rsidRPr="00EB5E7F">
        <w:rPr>
          <w:rFonts w:ascii="Times New Roman" w:eastAsia="Calibri" w:hAnsi="Times New Roman" w:cs="Times New Roman"/>
          <w:sz w:val="24"/>
          <w:szCs w:val="24"/>
        </w:rPr>
        <w:t>el sigma</w:t>
      </w:r>
      <w:proofErr w:type="gramEnd"/>
      <w:r w:rsidRPr="00EB5E7F">
        <w:rPr>
          <w:rFonts w:ascii="Times New Roman" w:eastAsia="Calibri" w:hAnsi="Times New Roman" w:cs="Times New Roman"/>
          <w:sz w:val="24"/>
          <w:szCs w:val="24"/>
        </w:rPr>
        <w:t xml:space="preserve"> (bilateral) es de 0,014 el mismo que es menor al parámetro teórico de 0,05 lo que nos permite afirmar que la hipótesis alterna se cumple entonces: </w:t>
      </w:r>
      <w:r w:rsidRPr="00EB5E7F">
        <w:rPr>
          <w:rFonts w:ascii="Times New Roman" w:eastAsia="Calibri" w:hAnsi="Times New Roman" w:cs="Times New Roman"/>
          <w:bCs/>
          <w:sz w:val="24"/>
          <w:szCs w:val="24"/>
        </w:rPr>
        <w:t>Las Unidades Mineras en Producción clasificada por Estratos Mineros se relacionan con las políticas de desarrollo sostenible en la minería peruana.</w:t>
      </w:r>
    </w:p>
    <w:p w14:paraId="2571FD29" w14:textId="77777777" w:rsidR="00EB5E7F" w:rsidRPr="00EB5E7F" w:rsidRDefault="00EB5E7F" w:rsidP="00EB5E7F">
      <w:pPr>
        <w:spacing w:after="160" w:line="259" w:lineRule="auto"/>
        <w:ind w:firstLine="720"/>
        <w:jc w:val="both"/>
        <w:rPr>
          <w:rFonts w:ascii="Times New Roman" w:eastAsia="Calibri" w:hAnsi="Times New Roman" w:cs="Times New Roman"/>
          <w:b/>
          <w:i/>
          <w:sz w:val="24"/>
          <w:szCs w:val="22"/>
        </w:rPr>
      </w:pPr>
      <w:r w:rsidRPr="00EB5E7F">
        <w:rPr>
          <w:rFonts w:ascii="Times New Roman" w:eastAsia="Calibri" w:hAnsi="Times New Roman" w:cs="Times New Roman"/>
          <w:b/>
          <w:i/>
          <w:sz w:val="24"/>
          <w:szCs w:val="22"/>
        </w:rPr>
        <w:br w:type="page"/>
      </w:r>
    </w:p>
    <w:p w14:paraId="2109DBF9" w14:textId="77777777" w:rsidR="00EB5E7F" w:rsidRPr="00EB5E7F" w:rsidRDefault="00EB5E7F" w:rsidP="00EB5E7F">
      <w:pPr>
        <w:numPr>
          <w:ilvl w:val="0"/>
          <w:numId w:val="18"/>
        </w:numPr>
        <w:spacing w:after="0" w:line="480" w:lineRule="auto"/>
        <w:ind w:left="567" w:hanging="425"/>
        <w:contextualSpacing/>
        <w:jc w:val="both"/>
        <w:rPr>
          <w:rFonts w:ascii="Times New Roman" w:eastAsia="Calibri" w:hAnsi="Times New Roman" w:cs="Times New Roman"/>
          <w:b/>
          <w:sz w:val="24"/>
          <w:szCs w:val="24"/>
        </w:rPr>
      </w:pPr>
      <w:r w:rsidRPr="00EB5E7F">
        <w:rPr>
          <w:rFonts w:ascii="Times New Roman" w:eastAsia="Calibri" w:hAnsi="Times New Roman" w:cs="Times New Roman"/>
          <w:b/>
          <w:i/>
          <w:sz w:val="24"/>
          <w:szCs w:val="24"/>
        </w:rPr>
        <w:t>Hipótesis específica 3.</w:t>
      </w:r>
    </w:p>
    <w:p w14:paraId="12489D47" w14:textId="77777777" w:rsidR="00EB5E7F" w:rsidRPr="00EB5E7F" w:rsidRDefault="00EB5E7F" w:rsidP="00EB5E7F">
      <w:pPr>
        <w:tabs>
          <w:tab w:val="left" w:pos="1843"/>
        </w:tabs>
        <w:spacing w:after="0" w:line="480" w:lineRule="auto"/>
        <w:ind w:left="709" w:firstLine="720"/>
        <w:contextualSpacing/>
        <w:jc w:val="both"/>
        <w:rPr>
          <w:rFonts w:ascii="Times New Roman" w:eastAsia="Times New Roman" w:hAnsi="Times New Roman" w:cs="Times New Roman"/>
          <w:bCs/>
          <w:kern w:val="24"/>
          <w:sz w:val="24"/>
          <w:szCs w:val="24"/>
          <w:lang w:eastAsia="es-PE"/>
        </w:rPr>
      </w:pPr>
      <w:r w:rsidRPr="00EB5E7F">
        <w:rPr>
          <w:rFonts w:ascii="Times New Roman" w:eastAsia="Calibri" w:hAnsi="Times New Roman" w:cs="Times New Roman"/>
          <w:b/>
          <w:sz w:val="24"/>
          <w:szCs w:val="24"/>
        </w:rPr>
        <w:t xml:space="preserve">Ho: </w:t>
      </w:r>
      <w:r w:rsidRPr="00EB5E7F">
        <w:rPr>
          <w:rFonts w:ascii="Times New Roman" w:eastAsia="Times New Roman" w:hAnsi="Times New Roman" w:cs="Times New Roman"/>
          <w:bCs/>
          <w:kern w:val="24"/>
          <w:sz w:val="24"/>
          <w:szCs w:val="24"/>
          <w:lang w:eastAsia="es-PE"/>
        </w:rPr>
        <w:t>El impacto económico, ambiental y social de la minería peruana no se relacionan con las políticas de desarrollo sostenible en la minería peruana.</w:t>
      </w:r>
    </w:p>
    <w:p w14:paraId="06C65AA7" w14:textId="77777777" w:rsidR="00EB5E7F" w:rsidRPr="00EB5E7F" w:rsidRDefault="00EB5E7F" w:rsidP="00EB5E7F">
      <w:pPr>
        <w:tabs>
          <w:tab w:val="left" w:pos="1560"/>
          <w:tab w:val="left" w:pos="1843"/>
        </w:tabs>
        <w:spacing w:after="0" w:line="480" w:lineRule="auto"/>
        <w:ind w:left="709" w:firstLine="720"/>
        <w:contextualSpacing/>
        <w:jc w:val="both"/>
        <w:rPr>
          <w:rFonts w:ascii="Times New Roman" w:eastAsia="Times New Roman" w:hAnsi="Times New Roman" w:cs="Times New Roman"/>
          <w:bCs/>
          <w:kern w:val="24"/>
          <w:sz w:val="24"/>
          <w:szCs w:val="24"/>
          <w:lang w:eastAsia="es-PE"/>
        </w:rPr>
      </w:pPr>
      <w:r w:rsidRPr="00EB5E7F">
        <w:rPr>
          <w:rFonts w:ascii="Times New Roman" w:eastAsia="Calibri" w:hAnsi="Times New Roman" w:cs="Times New Roman"/>
          <w:b/>
          <w:sz w:val="24"/>
          <w:szCs w:val="24"/>
        </w:rPr>
        <w:t xml:space="preserve">Ha: </w:t>
      </w:r>
      <w:bookmarkStart w:id="17" w:name="_Toc33086456"/>
      <w:bookmarkStart w:id="18" w:name="_Toc33086635"/>
      <w:r w:rsidRPr="00EB5E7F">
        <w:rPr>
          <w:rFonts w:ascii="Times New Roman" w:eastAsia="Times New Roman" w:hAnsi="Times New Roman" w:cs="Times New Roman"/>
          <w:bCs/>
          <w:kern w:val="24"/>
          <w:sz w:val="24"/>
          <w:szCs w:val="24"/>
          <w:lang w:eastAsia="es-PE"/>
        </w:rPr>
        <w:t>El impacto económico, ambiental y social de la minería peruana se relacionan con las políticas de desarrollo sostenible en la minería peruana.</w:t>
      </w:r>
    </w:p>
    <w:p w14:paraId="02907271" w14:textId="35ACB5A9" w:rsidR="00EB5E7F" w:rsidRPr="00EB5E7F" w:rsidRDefault="00EB5E7F" w:rsidP="006D133C">
      <w:pPr>
        <w:keepNext/>
        <w:spacing w:after="0" w:line="240" w:lineRule="auto"/>
        <w:ind w:left="567"/>
        <w:jc w:val="both"/>
        <w:rPr>
          <w:rFonts w:ascii="Times New Roman" w:eastAsia="Calibri" w:hAnsi="Times New Roman" w:cs="Times New Roman"/>
          <w:i/>
          <w:iCs/>
          <w:sz w:val="24"/>
          <w:szCs w:val="24"/>
        </w:rPr>
      </w:pPr>
      <w:bookmarkStart w:id="19" w:name="_Toc95394731"/>
      <w:r w:rsidRPr="00EB5E7F">
        <w:rPr>
          <w:rFonts w:ascii="Times New Roman" w:eastAsia="Calibri" w:hAnsi="Times New Roman" w:cs="Times New Roman"/>
          <w:b/>
          <w:sz w:val="24"/>
          <w:szCs w:val="24"/>
        </w:rPr>
        <w:t>Tabla</w:t>
      </w:r>
      <w:r w:rsidR="006D133C">
        <w:rPr>
          <w:rFonts w:ascii="Times New Roman" w:eastAsia="Calibri" w:hAnsi="Times New Roman" w:cs="Times New Roman"/>
          <w:b/>
          <w:sz w:val="24"/>
          <w:szCs w:val="24"/>
        </w:rPr>
        <w:tab/>
        <w:t>4</w:t>
      </w:r>
      <w:r w:rsidRPr="00EB5E7F">
        <w:rPr>
          <w:rFonts w:ascii="Times New Roman" w:eastAsia="Calibri" w:hAnsi="Times New Roman" w:cs="Times New Roman"/>
          <w:b/>
          <w:sz w:val="24"/>
          <w:szCs w:val="24"/>
        </w:rPr>
        <w:t>:</w:t>
      </w:r>
      <w:r w:rsidRPr="00EB5E7F">
        <w:rPr>
          <w:rFonts w:ascii="Times New Roman" w:eastAsia="Calibri" w:hAnsi="Times New Roman" w:cs="Times New Roman"/>
          <w:b/>
          <w:i/>
          <w:iCs/>
          <w:sz w:val="24"/>
          <w:szCs w:val="24"/>
        </w:rPr>
        <w:t xml:space="preserve"> </w:t>
      </w:r>
      <w:bookmarkEnd w:id="17"/>
      <w:bookmarkEnd w:id="18"/>
      <w:r w:rsidRPr="00EB5E7F">
        <w:rPr>
          <w:rFonts w:ascii="Times New Roman" w:eastAsia="Calibri" w:hAnsi="Times New Roman" w:cs="Times New Roman"/>
          <w:b/>
          <w:i/>
          <w:iCs/>
          <w:sz w:val="24"/>
          <w:szCs w:val="24"/>
        </w:rPr>
        <w:br/>
      </w:r>
      <w:r w:rsidRPr="00EB5E7F">
        <w:rPr>
          <w:rFonts w:ascii="Times New Roman" w:eastAsia="Calibri" w:hAnsi="Times New Roman" w:cs="Times New Roman"/>
          <w:i/>
          <w:iCs/>
          <w:sz w:val="24"/>
          <w:szCs w:val="24"/>
        </w:rPr>
        <w:t xml:space="preserve">Correlación entre el </w:t>
      </w:r>
      <w:r w:rsidRPr="00EB5E7F">
        <w:rPr>
          <w:rFonts w:ascii="Times New Roman" w:eastAsia="Calibri" w:hAnsi="Times New Roman" w:cs="Times New Roman"/>
          <w:bCs/>
          <w:i/>
          <w:iCs/>
          <w:sz w:val="24"/>
          <w:szCs w:val="24"/>
        </w:rPr>
        <w:t>impacto económico, ambiental y social de la minería peruana y las políticas de desarrollo sostenible en la minería peruana.</w:t>
      </w:r>
      <w:bookmarkEnd w:id="19"/>
    </w:p>
    <w:tbl>
      <w:tblPr>
        <w:tblW w:w="8133"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7"/>
        <w:gridCol w:w="1645"/>
        <w:gridCol w:w="1614"/>
        <w:gridCol w:w="2322"/>
        <w:gridCol w:w="1275"/>
      </w:tblGrid>
      <w:tr w:rsidR="00EB5E7F" w:rsidRPr="00EB5E7F" w14:paraId="13189F33" w14:textId="77777777" w:rsidTr="00E62D63">
        <w:trPr>
          <w:cantSplit/>
        </w:trPr>
        <w:tc>
          <w:tcPr>
            <w:tcW w:w="4536" w:type="dxa"/>
            <w:gridSpan w:val="3"/>
            <w:tcBorders>
              <w:top w:val="nil"/>
              <w:left w:val="nil"/>
              <w:bottom w:val="single" w:sz="8" w:space="0" w:color="152935"/>
              <w:right w:val="nil"/>
            </w:tcBorders>
            <w:shd w:val="clear" w:color="auto" w:fill="auto"/>
            <w:vAlign w:val="bottom"/>
          </w:tcPr>
          <w:p w14:paraId="7A830E3F"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r w:rsidRPr="00EB5E7F">
              <w:rPr>
                <w:rFonts w:ascii="Times New Roman" w:eastAsia="Calibri" w:hAnsi="Times New Roman" w:cs="Times New Roman"/>
                <w:bCs/>
                <w:i/>
                <w:iCs/>
                <w:sz w:val="24"/>
                <w:szCs w:val="24"/>
              </w:rPr>
              <w:t>.</w:t>
            </w:r>
          </w:p>
        </w:tc>
        <w:tc>
          <w:tcPr>
            <w:tcW w:w="2322" w:type="dxa"/>
            <w:tcBorders>
              <w:top w:val="nil"/>
              <w:left w:val="nil"/>
              <w:bottom w:val="single" w:sz="8" w:space="0" w:color="152935"/>
              <w:right w:val="single" w:sz="8" w:space="0" w:color="E0E0E0"/>
            </w:tcBorders>
            <w:shd w:val="clear" w:color="auto" w:fill="auto"/>
            <w:vAlign w:val="bottom"/>
          </w:tcPr>
          <w:p w14:paraId="10C685BF"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Times New Roman" w:hAnsi="Times New Roman" w:cs="Times New Roman"/>
                <w:bCs/>
                <w:kern w:val="24"/>
                <w:sz w:val="24"/>
                <w:szCs w:val="24"/>
                <w:lang w:eastAsia="es-PE"/>
              </w:rPr>
              <w:t>Impacto económico, ambiental y social de la minería</w:t>
            </w:r>
          </w:p>
        </w:tc>
        <w:tc>
          <w:tcPr>
            <w:tcW w:w="1275" w:type="dxa"/>
            <w:tcBorders>
              <w:top w:val="nil"/>
              <w:left w:val="single" w:sz="8" w:space="0" w:color="E0E0E0"/>
              <w:bottom w:val="single" w:sz="8" w:space="0" w:color="152935"/>
              <w:right w:val="nil"/>
            </w:tcBorders>
            <w:shd w:val="clear" w:color="auto" w:fill="auto"/>
            <w:vAlign w:val="bottom"/>
          </w:tcPr>
          <w:p w14:paraId="2B05A85C"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Políticas de desarrollo sostenible</w:t>
            </w:r>
          </w:p>
        </w:tc>
      </w:tr>
      <w:tr w:rsidR="00EB5E7F" w:rsidRPr="00EB5E7F" w14:paraId="0A2458ED" w14:textId="77777777" w:rsidTr="00E62D63">
        <w:trPr>
          <w:cantSplit/>
        </w:trPr>
        <w:tc>
          <w:tcPr>
            <w:tcW w:w="1277" w:type="dxa"/>
            <w:vMerge w:val="restart"/>
            <w:tcBorders>
              <w:top w:val="single" w:sz="8" w:space="0" w:color="152935"/>
              <w:left w:val="nil"/>
              <w:bottom w:val="single" w:sz="8" w:space="0" w:color="152935"/>
              <w:right w:val="nil"/>
            </w:tcBorders>
            <w:shd w:val="clear" w:color="auto" w:fill="auto"/>
          </w:tcPr>
          <w:p w14:paraId="32A02FD6"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Rho de Spearman</w:t>
            </w:r>
          </w:p>
        </w:tc>
        <w:tc>
          <w:tcPr>
            <w:tcW w:w="1645" w:type="dxa"/>
            <w:vMerge w:val="restart"/>
            <w:tcBorders>
              <w:top w:val="single" w:sz="8" w:space="0" w:color="152935"/>
              <w:left w:val="nil"/>
              <w:bottom w:val="nil"/>
              <w:right w:val="nil"/>
            </w:tcBorders>
            <w:shd w:val="clear" w:color="auto" w:fill="auto"/>
          </w:tcPr>
          <w:p w14:paraId="4657E315"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Times New Roman" w:hAnsi="Times New Roman" w:cs="Times New Roman"/>
                <w:bCs/>
                <w:kern w:val="24"/>
                <w:sz w:val="24"/>
                <w:szCs w:val="24"/>
                <w:lang w:eastAsia="es-PE"/>
              </w:rPr>
              <w:t>Impacto económico, ambiental y social de la minería</w:t>
            </w:r>
          </w:p>
        </w:tc>
        <w:tc>
          <w:tcPr>
            <w:tcW w:w="1614" w:type="dxa"/>
            <w:tcBorders>
              <w:top w:val="single" w:sz="8" w:space="0" w:color="152935"/>
              <w:left w:val="nil"/>
              <w:bottom w:val="single" w:sz="8" w:space="0" w:color="AEAEAE"/>
              <w:right w:val="nil"/>
            </w:tcBorders>
            <w:shd w:val="clear" w:color="auto" w:fill="auto"/>
          </w:tcPr>
          <w:p w14:paraId="34AF7B44"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Coeficiente de correlación</w:t>
            </w:r>
          </w:p>
        </w:tc>
        <w:tc>
          <w:tcPr>
            <w:tcW w:w="2322" w:type="dxa"/>
            <w:tcBorders>
              <w:top w:val="single" w:sz="8" w:space="0" w:color="152935"/>
              <w:left w:val="nil"/>
              <w:bottom w:val="single" w:sz="8" w:space="0" w:color="AEAEAE"/>
              <w:right w:val="single" w:sz="8" w:space="0" w:color="E0E0E0"/>
            </w:tcBorders>
            <w:shd w:val="clear" w:color="auto" w:fill="auto"/>
          </w:tcPr>
          <w:p w14:paraId="4B18A2FD"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1,000</w:t>
            </w:r>
          </w:p>
        </w:tc>
        <w:tc>
          <w:tcPr>
            <w:tcW w:w="1275" w:type="dxa"/>
            <w:tcBorders>
              <w:top w:val="single" w:sz="8" w:space="0" w:color="152935"/>
              <w:left w:val="single" w:sz="8" w:space="0" w:color="E0E0E0"/>
              <w:bottom w:val="single" w:sz="8" w:space="0" w:color="AEAEAE"/>
              <w:right w:val="nil"/>
            </w:tcBorders>
            <w:shd w:val="clear" w:color="auto" w:fill="auto"/>
          </w:tcPr>
          <w:p w14:paraId="0B31A219"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,661</w:t>
            </w:r>
            <w:r w:rsidRPr="00EB5E7F">
              <w:rPr>
                <w:rFonts w:ascii="Times New Roman" w:eastAsia="Calibri" w:hAnsi="Times New Roman" w:cs="Times New Roman"/>
                <w:sz w:val="24"/>
                <w:szCs w:val="24"/>
                <w:vertAlign w:val="superscript"/>
              </w:rPr>
              <w:t>**</w:t>
            </w:r>
          </w:p>
        </w:tc>
      </w:tr>
      <w:tr w:rsidR="00EB5E7F" w:rsidRPr="00EB5E7F" w14:paraId="363D8BB2" w14:textId="77777777" w:rsidTr="00E62D63">
        <w:trPr>
          <w:cantSplit/>
        </w:trPr>
        <w:tc>
          <w:tcPr>
            <w:tcW w:w="1277" w:type="dxa"/>
            <w:vMerge/>
            <w:tcBorders>
              <w:top w:val="single" w:sz="8" w:space="0" w:color="152935"/>
              <w:left w:val="nil"/>
              <w:bottom w:val="single" w:sz="8" w:space="0" w:color="152935"/>
              <w:right w:val="nil"/>
            </w:tcBorders>
            <w:shd w:val="clear" w:color="auto" w:fill="auto"/>
          </w:tcPr>
          <w:p w14:paraId="2F742649"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45" w:type="dxa"/>
            <w:vMerge/>
            <w:tcBorders>
              <w:top w:val="single" w:sz="8" w:space="0" w:color="152935"/>
              <w:left w:val="nil"/>
              <w:bottom w:val="nil"/>
              <w:right w:val="nil"/>
            </w:tcBorders>
            <w:shd w:val="clear" w:color="auto" w:fill="auto"/>
          </w:tcPr>
          <w:p w14:paraId="15ED7C1D"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14" w:type="dxa"/>
            <w:tcBorders>
              <w:top w:val="single" w:sz="8" w:space="0" w:color="AEAEAE"/>
              <w:left w:val="nil"/>
              <w:bottom w:val="single" w:sz="8" w:space="0" w:color="AEAEAE"/>
              <w:right w:val="nil"/>
            </w:tcBorders>
            <w:shd w:val="clear" w:color="auto" w:fill="auto"/>
          </w:tcPr>
          <w:p w14:paraId="52BF23D9"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Sig. (bilateral)</w:t>
            </w:r>
          </w:p>
        </w:tc>
        <w:tc>
          <w:tcPr>
            <w:tcW w:w="2322" w:type="dxa"/>
            <w:tcBorders>
              <w:top w:val="single" w:sz="8" w:space="0" w:color="AEAEAE"/>
              <w:left w:val="nil"/>
              <w:bottom w:val="single" w:sz="8" w:space="0" w:color="AEAEAE"/>
              <w:right w:val="single" w:sz="8" w:space="0" w:color="E0E0E0"/>
            </w:tcBorders>
            <w:shd w:val="clear" w:color="auto" w:fill="auto"/>
          </w:tcPr>
          <w:p w14:paraId="09CF2855"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w:t>
            </w:r>
          </w:p>
        </w:tc>
        <w:tc>
          <w:tcPr>
            <w:tcW w:w="1275" w:type="dxa"/>
            <w:tcBorders>
              <w:top w:val="single" w:sz="8" w:space="0" w:color="AEAEAE"/>
              <w:left w:val="single" w:sz="8" w:space="0" w:color="E0E0E0"/>
              <w:bottom w:val="single" w:sz="8" w:space="0" w:color="AEAEAE"/>
              <w:right w:val="nil"/>
            </w:tcBorders>
            <w:shd w:val="clear" w:color="auto" w:fill="auto"/>
          </w:tcPr>
          <w:p w14:paraId="6B4AF8F4"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,000</w:t>
            </w:r>
          </w:p>
        </w:tc>
      </w:tr>
      <w:tr w:rsidR="00EB5E7F" w:rsidRPr="00EB5E7F" w14:paraId="7A1D2F8C" w14:textId="77777777" w:rsidTr="00E62D63">
        <w:trPr>
          <w:cantSplit/>
        </w:trPr>
        <w:tc>
          <w:tcPr>
            <w:tcW w:w="1277" w:type="dxa"/>
            <w:vMerge/>
            <w:tcBorders>
              <w:top w:val="single" w:sz="8" w:space="0" w:color="152935"/>
              <w:left w:val="nil"/>
              <w:bottom w:val="single" w:sz="8" w:space="0" w:color="152935"/>
              <w:right w:val="nil"/>
            </w:tcBorders>
            <w:shd w:val="clear" w:color="auto" w:fill="auto"/>
          </w:tcPr>
          <w:p w14:paraId="72250A98"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45" w:type="dxa"/>
            <w:vMerge/>
            <w:tcBorders>
              <w:top w:val="single" w:sz="8" w:space="0" w:color="152935"/>
              <w:left w:val="nil"/>
              <w:bottom w:val="nil"/>
              <w:right w:val="nil"/>
            </w:tcBorders>
            <w:shd w:val="clear" w:color="auto" w:fill="auto"/>
          </w:tcPr>
          <w:p w14:paraId="12146EBE"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14" w:type="dxa"/>
            <w:tcBorders>
              <w:top w:val="single" w:sz="8" w:space="0" w:color="AEAEAE"/>
              <w:left w:val="nil"/>
              <w:bottom w:val="nil"/>
              <w:right w:val="nil"/>
            </w:tcBorders>
            <w:shd w:val="clear" w:color="auto" w:fill="auto"/>
          </w:tcPr>
          <w:p w14:paraId="34E93CE0"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N</w:t>
            </w:r>
          </w:p>
        </w:tc>
        <w:tc>
          <w:tcPr>
            <w:tcW w:w="2322" w:type="dxa"/>
            <w:tcBorders>
              <w:top w:val="single" w:sz="8" w:space="0" w:color="AEAEAE"/>
              <w:left w:val="nil"/>
              <w:bottom w:val="nil"/>
              <w:right w:val="single" w:sz="8" w:space="0" w:color="E0E0E0"/>
            </w:tcBorders>
            <w:shd w:val="clear" w:color="auto" w:fill="auto"/>
          </w:tcPr>
          <w:p w14:paraId="72D12CA5"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c>
          <w:tcPr>
            <w:tcW w:w="1275" w:type="dxa"/>
            <w:tcBorders>
              <w:top w:val="single" w:sz="8" w:space="0" w:color="AEAEAE"/>
              <w:left w:val="single" w:sz="8" w:space="0" w:color="E0E0E0"/>
              <w:bottom w:val="nil"/>
              <w:right w:val="nil"/>
            </w:tcBorders>
            <w:shd w:val="clear" w:color="auto" w:fill="auto"/>
          </w:tcPr>
          <w:p w14:paraId="5DAABCE3"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r>
      <w:tr w:rsidR="00EB5E7F" w:rsidRPr="00EB5E7F" w14:paraId="71CDC853" w14:textId="77777777" w:rsidTr="00E62D63">
        <w:trPr>
          <w:cantSplit/>
        </w:trPr>
        <w:tc>
          <w:tcPr>
            <w:tcW w:w="1277" w:type="dxa"/>
            <w:vMerge/>
            <w:tcBorders>
              <w:top w:val="single" w:sz="8" w:space="0" w:color="152935"/>
              <w:left w:val="nil"/>
              <w:bottom w:val="single" w:sz="8" w:space="0" w:color="152935"/>
              <w:right w:val="nil"/>
            </w:tcBorders>
            <w:shd w:val="clear" w:color="auto" w:fill="auto"/>
          </w:tcPr>
          <w:p w14:paraId="4CB5FAF4"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45" w:type="dxa"/>
            <w:vMerge w:val="restart"/>
            <w:tcBorders>
              <w:top w:val="single" w:sz="8" w:space="0" w:color="AEAEAE"/>
              <w:left w:val="nil"/>
              <w:bottom w:val="single" w:sz="8" w:space="0" w:color="152935"/>
              <w:right w:val="nil"/>
            </w:tcBorders>
            <w:shd w:val="clear" w:color="auto" w:fill="auto"/>
          </w:tcPr>
          <w:p w14:paraId="7C694E76"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Políticas de desarrollo sostenible</w:t>
            </w:r>
          </w:p>
        </w:tc>
        <w:tc>
          <w:tcPr>
            <w:tcW w:w="1614" w:type="dxa"/>
            <w:tcBorders>
              <w:top w:val="single" w:sz="8" w:space="0" w:color="AEAEAE"/>
              <w:left w:val="nil"/>
              <w:bottom w:val="single" w:sz="8" w:space="0" w:color="AEAEAE"/>
              <w:right w:val="nil"/>
            </w:tcBorders>
            <w:shd w:val="clear" w:color="auto" w:fill="auto"/>
          </w:tcPr>
          <w:p w14:paraId="6EF3ED51"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Coeficiente de correlación</w:t>
            </w:r>
          </w:p>
        </w:tc>
        <w:tc>
          <w:tcPr>
            <w:tcW w:w="2322" w:type="dxa"/>
            <w:tcBorders>
              <w:top w:val="single" w:sz="8" w:space="0" w:color="AEAEAE"/>
              <w:left w:val="nil"/>
              <w:bottom w:val="single" w:sz="8" w:space="0" w:color="AEAEAE"/>
              <w:right w:val="single" w:sz="8" w:space="0" w:color="E0E0E0"/>
            </w:tcBorders>
            <w:shd w:val="clear" w:color="auto" w:fill="auto"/>
          </w:tcPr>
          <w:p w14:paraId="1EE41E5C"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,661</w:t>
            </w:r>
            <w:r w:rsidRPr="00EB5E7F">
              <w:rPr>
                <w:rFonts w:ascii="Times New Roman" w:eastAsia="Calibri" w:hAnsi="Times New Roman" w:cs="Times New Roman"/>
                <w:sz w:val="24"/>
                <w:szCs w:val="24"/>
                <w:vertAlign w:val="superscript"/>
              </w:rPr>
              <w:t>**</w:t>
            </w:r>
          </w:p>
        </w:tc>
        <w:tc>
          <w:tcPr>
            <w:tcW w:w="1275" w:type="dxa"/>
            <w:tcBorders>
              <w:top w:val="single" w:sz="8" w:space="0" w:color="AEAEAE"/>
              <w:left w:val="single" w:sz="8" w:space="0" w:color="E0E0E0"/>
              <w:bottom w:val="single" w:sz="8" w:space="0" w:color="AEAEAE"/>
              <w:right w:val="nil"/>
            </w:tcBorders>
            <w:shd w:val="clear" w:color="auto" w:fill="auto"/>
          </w:tcPr>
          <w:p w14:paraId="306D727C"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1,000</w:t>
            </w:r>
          </w:p>
        </w:tc>
      </w:tr>
      <w:tr w:rsidR="00EB5E7F" w:rsidRPr="00EB5E7F" w14:paraId="6417EBD9" w14:textId="77777777" w:rsidTr="00E62D63">
        <w:trPr>
          <w:cantSplit/>
        </w:trPr>
        <w:tc>
          <w:tcPr>
            <w:tcW w:w="1277" w:type="dxa"/>
            <w:vMerge/>
            <w:tcBorders>
              <w:top w:val="single" w:sz="8" w:space="0" w:color="152935"/>
              <w:left w:val="nil"/>
              <w:bottom w:val="single" w:sz="8" w:space="0" w:color="152935"/>
              <w:right w:val="nil"/>
            </w:tcBorders>
            <w:shd w:val="clear" w:color="auto" w:fill="auto"/>
          </w:tcPr>
          <w:p w14:paraId="7E8B0AB7"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45" w:type="dxa"/>
            <w:vMerge/>
            <w:tcBorders>
              <w:top w:val="single" w:sz="8" w:space="0" w:color="AEAEAE"/>
              <w:left w:val="nil"/>
              <w:bottom w:val="single" w:sz="8" w:space="0" w:color="152935"/>
              <w:right w:val="nil"/>
            </w:tcBorders>
            <w:shd w:val="clear" w:color="auto" w:fill="auto"/>
          </w:tcPr>
          <w:p w14:paraId="37270458"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14" w:type="dxa"/>
            <w:tcBorders>
              <w:top w:val="single" w:sz="8" w:space="0" w:color="AEAEAE"/>
              <w:left w:val="nil"/>
              <w:bottom w:val="single" w:sz="8" w:space="0" w:color="AEAEAE"/>
              <w:right w:val="nil"/>
            </w:tcBorders>
            <w:shd w:val="clear" w:color="auto" w:fill="auto"/>
          </w:tcPr>
          <w:p w14:paraId="6EDE732A"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Sig. (bilateral)</w:t>
            </w:r>
          </w:p>
        </w:tc>
        <w:tc>
          <w:tcPr>
            <w:tcW w:w="2322" w:type="dxa"/>
            <w:tcBorders>
              <w:top w:val="single" w:sz="8" w:space="0" w:color="AEAEAE"/>
              <w:left w:val="nil"/>
              <w:bottom w:val="single" w:sz="8" w:space="0" w:color="AEAEAE"/>
              <w:right w:val="single" w:sz="8" w:space="0" w:color="E0E0E0"/>
            </w:tcBorders>
            <w:shd w:val="clear" w:color="auto" w:fill="auto"/>
          </w:tcPr>
          <w:p w14:paraId="66F5123C"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,000</w:t>
            </w:r>
          </w:p>
        </w:tc>
        <w:tc>
          <w:tcPr>
            <w:tcW w:w="1275" w:type="dxa"/>
            <w:tcBorders>
              <w:top w:val="single" w:sz="8" w:space="0" w:color="AEAEAE"/>
              <w:left w:val="single" w:sz="8" w:space="0" w:color="E0E0E0"/>
              <w:bottom w:val="single" w:sz="8" w:space="0" w:color="AEAEAE"/>
              <w:right w:val="nil"/>
            </w:tcBorders>
            <w:shd w:val="clear" w:color="auto" w:fill="auto"/>
          </w:tcPr>
          <w:p w14:paraId="62C96AED"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w:t>
            </w:r>
          </w:p>
        </w:tc>
      </w:tr>
      <w:tr w:rsidR="00EB5E7F" w:rsidRPr="00EB5E7F" w14:paraId="61AE3F3D" w14:textId="77777777" w:rsidTr="00E62D63">
        <w:trPr>
          <w:cantSplit/>
        </w:trPr>
        <w:tc>
          <w:tcPr>
            <w:tcW w:w="1277" w:type="dxa"/>
            <w:vMerge/>
            <w:tcBorders>
              <w:top w:val="single" w:sz="8" w:space="0" w:color="152935"/>
              <w:left w:val="nil"/>
              <w:bottom w:val="single" w:sz="8" w:space="0" w:color="152935"/>
              <w:right w:val="nil"/>
            </w:tcBorders>
            <w:shd w:val="clear" w:color="auto" w:fill="auto"/>
          </w:tcPr>
          <w:p w14:paraId="04BFD74D"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45" w:type="dxa"/>
            <w:vMerge/>
            <w:tcBorders>
              <w:top w:val="single" w:sz="8" w:space="0" w:color="AEAEAE"/>
              <w:left w:val="nil"/>
              <w:bottom w:val="single" w:sz="8" w:space="0" w:color="152935"/>
              <w:right w:val="nil"/>
            </w:tcBorders>
            <w:shd w:val="clear" w:color="auto" w:fill="auto"/>
          </w:tcPr>
          <w:p w14:paraId="4EB354ED"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14" w:type="dxa"/>
            <w:tcBorders>
              <w:top w:val="single" w:sz="8" w:space="0" w:color="AEAEAE"/>
              <w:left w:val="nil"/>
              <w:bottom w:val="single" w:sz="8" w:space="0" w:color="152935"/>
              <w:right w:val="nil"/>
            </w:tcBorders>
            <w:shd w:val="clear" w:color="auto" w:fill="auto"/>
          </w:tcPr>
          <w:p w14:paraId="50CDEB87"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N</w:t>
            </w:r>
          </w:p>
        </w:tc>
        <w:tc>
          <w:tcPr>
            <w:tcW w:w="2322" w:type="dxa"/>
            <w:tcBorders>
              <w:top w:val="single" w:sz="8" w:space="0" w:color="AEAEAE"/>
              <w:left w:val="nil"/>
              <w:bottom w:val="single" w:sz="8" w:space="0" w:color="152935"/>
              <w:right w:val="single" w:sz="8" w:space="0" w:color="E0E0E0"/>
            </w:tcBorders>
            <w:shd w:val="clear" w:color="auto" w:fill="auto"/>
          </w:tcPr>
          <w:p w14:paraId="06D1754F"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c>
          <w:tcPr>
            <w:tcW w:w="1275" w:type="dxa"/>
            <w:tcBorders>
              <w:top w:val="single" w:sz="8" w:space="0" w:color="AEAEAE"/>
              <w:left w:val="single" w:sz="8" w:space="0" w:color="E0E0E0"/>
              <w:bottom w:val="single" w:sz="8" w:space="0" w:color="152935"/>
              <w:right w:val="nil"/>
            </w:tcBorders>
            <w:shd w:val="clear" w:color="auto" w:fill="auto"/>
          </w:tcPr>
          <w:p w14:paraId="2C8E1451"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r>
      <w:tr w:rsidR="00EB5E7F" w:rsidRPr="00EB5E7F" w14:paraId="1223D438" w14:textId="77777777" w:rsidTr="00E62D63">
        <w:trPr>
          <w:cantSplit/>
        </w:trPr>
        <w:tc>
          <w:tcPr>
            <w:tcW w:w="8133" w:type="dxa"/>
            <w:gridSpan w:val="5"/>
            <w:tcBorders>
              <w:top w:val="nil"/>
              <w:left w:val="nil"/>
              <w:bottom w:val="nil"/>
              <w:right w:val="nil"/>
            </w:tcBorders>
            <w:shd w:val="clear" w:color="auto" w:fill="auto"/>
          </w:tcPr>
          <w:p w14:paraId="74BD02DD" w14:textId="77777777" w:rsidR="00EB5E7F" w:rsidRPr="00EB5E7F" w:rsidRDefault="00EB5E7F" w:rsidP="00EB5E7F">
            <w:pPr>
              <w:autoSpaceDE w:val="0"/>
              <w:autoSpaceDN w:val="0"/>
              <w:adjustRightInd w:val="0"/>
              <w:spacing w:after="0" w:line="320" w:lineRule="atLeast"/>
              <w:ind w:left="60" w:right="60" w:firstLine="720"/>
              <w:jc w:val="both"/>
              <w:rPr>
                <w:rFonts w:ascii="Times New Roman" w:eastAsia="Calibri" w:hAnsi="Times New Roman" w:cs="Times New Roman"/>
                <w:sz w:val="24"/>
                <w:szCs w:val="24"/>
              </w:rPr>
            </w:pPr>
            <w:r w:rsidRPr="00EB5E7F">
              <w:rPr>
                <w:rFonts w:ascii="Times New Roman" w:eastAsia="Calibri" w:hAnsi="Times New Roman" w:cs="Times New Roman"/>
                <w:sz w:val="24"/>
                <w:szCs w:val="24"/>
              </w:rPr>
              <w:t>**. La correlación es significativa en el nivel 0,01 (bilateral).</w:t>
            </w:r>
          </w:p>
        </w:tc>
      </w:tr>
    </w:tbl>
    <w:p w14:paraId="03912C9C" w14:textId="77777777" w:rsidR="00EB5E7F" w:rsidRPr="00EB5E7F" w:rsidRDefault="00EB5E7F" w:rsidP="00EB5E7F">
      <w:pPr>
        <w:spacing w:after="0" w:line="480" w:lineRule="auto"/>
        <w:ind w:left="709" w:firstLine="720"/>
        <w:jc w:val="both"/>
        <w:rPr>
          <w:rFonts w:ascii="Times New Roman" w:eastAsia="Calibri" w:hAnsi="Times New Roman" w:cs="Times New Roman"/>
          <w:bCs/>
          <w:sz w:val="24"/>
          <w:szCs w:val="24"/>
          <w:lang w:eastAsia="es-PE"/>
        </w:rPr>
      </w:pPr>
      <w:r w:rsidRPr="00EB5E7F">
        <w:rPr>
          <w:rFonts w:ascii="Times New Roman" w:eastAsia="Calibri" w:hAnsi="Times New Roman" w:cs="Times New Roman"/>
          <w:bCs/>
          <w:sz w:val="24"/>
          <w:szCs w:val="24"/>
          <w:lang w:eastAsia="es-PE"/>
        </w:rPr>
        <w:t>Fuente: Elaboración Propia</w:t>
      </w:r>
    </w:p>
    <w:p w14:paraId="7368FBFD" w14:textId="77777777" w:rsidR="00EB5E7F" w:rsidRPr="00EB5E7F" w:rsidRDefault="00EB5E7F" w:rsidP="00EB5E7F">
      <w:pPr>
        <w:spacing w:after="0" w:line="480" w:lineRule="auto"/>
        <w:ind w:left="707" w:firstLine="221"/>
        <w:contextualSpacing/>
        <w:jc w:val="both"/>
        <w:rPr>
          <w:rFonts w:ascii="Times New Roman" w:eastAsia="Calibri" w:hAnsi="Times New Roman" w:cs="Times New Roman"/>
          <w:bCs/>
          <w:sz w:val="24"/>
          <w:szCs w:val="24"/>
        </w:rPr>
      </w:pPr>
      <w:r w:rsidRPr="00EB5E7F">
        <w:rPr>
          <w:rFonts w:ascii="Times New Roman" w:eastAsia="Calibri" w:hAnsi="Times New Roman" w:cs="Times New Roman"/>
          <w:b/>
          <w:i/>
          <w:sz w:val="24"/>
          <w:szCs w:val="24"/>
        </w:rPr>
        <w:t>Interpretación:</w:t>
      </w:r>
      <w:r w:rsidRPr="00EB5E7F">
        <w:rPr>
          <w:rFonts w:ascii="Times New Roman" w:eastAsia="Calibri" w:hAnsi="Times New Roman" w:cs="Times New Roman"/>
          <w:i/>
          <w:sz w:val="24"/>
          <w:szCs w:val="24"/>
        </w:rPr>
        <w:t xml:space="preserve"> </w:t>
      </w:r>
      <w:r w:rsidRPr="00EB5E7F">
        <w:rPr>
          <w:rFonts w:ascii="Times New Roman" w:eastAsia="Calibri" w:hAnsi="Times New Roman" w:cs="Times New Roman"/>
          <w:sz w:val="24"/>
          <w:szCs w:val="24"/>
        </w:rPr>
        <w:t xml:space="preserve">Según los resultados obtenidos para comprobar la hipótesis especifica 3 se ha obtenido que el coeficiente de correlación Rho de Spearman, que tiene el valor de 0.661** y </w:t>
      </w:r>
      <w:proofErr w:type="gramStart"/>
      <w:r w:rsidRPr="00EB5E7F">
        <w:rPr>
          <w:rFonts w:ascii="Times New Roman" w:eastAsia="Calibri" w:hAnsi="Times New Roman" w:cs="Times New Roman"/>
          <w:sz w:val="24"/>
          <w:szCs w:val="24"/>
        </w:rPr>
        <w:t>el sigma</w:t>
      </w:r>
      <w:proofErr w:type="gramEnd"/>
      <w:r w:rsidRPr="00EB5E7F">
        <w:rPr>
          <w:rFonts w:ascii="Times New Roman" w:eastAsia="Calibri" w:hAnsi="Times New Roman" w:cs="Times New Roman"/>
          <w:sz w:val="24"/>
          <w:szCs w:val="24"/>
        </w:rPr>
        <w:t xml:space="preserve"> (bilateral) es de 0,000 el mismo que es menor al parámetro teórico de 0,05 lo que nos permite afirmar que la hipótesis alterna se cumple entonces: </w:t>
      </w:r>
      <w:r w:rsidRPr="00EB5E7F">
        <w:rPr>
          <w:rFonts w:ascii="Times New Roman" w:eastAsia="Calibri" w:hAnsi="Times New Roman" w:cs="Times New Roman"/>
          <w:bCs/>
          <w:sz w:val="24"/>
          <w:szCs w:val="24"/>
        </w:rPr>
        <w:t>El impacto económico, ambiental y social de la minería peruana se relacionan con las políticas de desarrollo sostenible en la minería peruana.</w:t>
      </w:r>
    </w:p>
    <w:p w14:paraId="1D981645" w14:textId="77777777" w:rsidR="00EB5E7F" w:rsidRPr="00EB5E7F" w:rsidRDefault="00EB5E7F" w:rsidP="00EB5E7F">
      <w:pPr>
        <w:spacing w:after="0" w:line="480" w:lineRule="auto"/>
        <w:ind w:left="707" w:firstLine="221"/>
        <w:contextualSpacing/>
        <w:jc w:val="both"/>
        <w:rPr>
          <w:rFonts w:ascii="Times New Roman" w:eastAsia="Calibri" w:hAnsi="Times New Roman" w:cs="Times New Roman"/>
          <w:bCs/>
          <w:sz w:val="24"/>
          <w:szCs w:val="22"/>
        </w:rPr>
      </w:pPr>
    </w:p>
    <w:p w14:paraId="6E9B0432" w14:textId="77777777" w:rsidR="00EB5E7F" w:rsidRPr="00EB5E7F" w:rsidRDefault="00EB5E7F" w:rsidP="00EB5E7F">
      <w:pPr>
        <w:spacing w:after="0" w:line="480" w:lineRule="auto"/>
        <w:ind w:firstLine="720"/>
        <w:jc w:val="both"/>
        <w:rPr>
          <w:rFonts w:ascii="Times New Roman" w:eastAsia="Calibri" w:hAnsi="Times New Roman" w:cs="Times New Roman"/>
          <w:sz w:val="24"/>
          <w:szCs w:val="22"/>
        </w:rPr>
      </w:pPr>
      <w:r w:rsidRPr="00EB5E7F">
        <w:rPr>
          <w:rFonts w:ascii="Times New Roman" w:eastAsia="Calibri" w:hAnsi="Times New Roman" w:cs="Times New Roman"/>
          <w:sz w:val="24"/>
          <w:szCs w:val="22"/>
        </w:rPr>
        <w:br w:type="page"/>
      </w:r>
    </w:p>
    <w:p w14:paraId="4BFCD5AB" w14:textId="77777777" w:rsidR="00EB5E7F" w:rsidRPr="00EB5E7F" w:rsidRDefault="00EB5E7F" w:rsidP="00EB5E7F">
      <w:pPr>
        <w:numPr>
          <w:ilvl w:val="0"/>
          <w:numId w:val="18"/>
        </w:numPr>
        <w:spacing w:after="0" w:line="480" w:lineRule="auto"/>
        <w:ind w:left="567" w:hanging="425"/>
        <w:contextualSpacing/>
        <w:jc w:val="both"/>
        <w:rPr>
          <w:rFonts w:ascii="Times New Roman" w:eastAsia="Calibri" w:hAnsi="Times New Roman" w:cs="Times New Roman"/>
          <w:b/>
          <w:i/>
          <w:sz w:val="24"/>
          <w:szCs w:val="24"/>
        </w:rPr>
      </w:pPr>
      <w:r w:rsidRPr="00EB5E7F">
        <w:rPr>
          <w:rFonts w:ascii="Times New Roman" w:eastAsia="Calibri" w:hAnsi="Times New Roman" w:cs="Times New Roman"/>
          <w:b/>
          <w:i/>
          <w:sz w:val="24"/>
          <w:szCs w:val="24"/>
        </w:rPr>
        <w:t>Hipótesis específica 4.</w:t>
      </w:r>
    </w:p>
    <w:p w14:paraId="3D9DE35A" w14:textId="77777777" w:rsidR="00EB5E7F" w:rsidRPr="00EB5E7F" w:rsidRDefault="00EB5E7F" w:rsidP="00EB5E7F">
      <w:pPr>
        <w:tabs>
          <w:tab w:val="left" w:pos="1843"/>
        </w:tabs>
        <w:spacing w:after="0" w:line="480" w:lineRule="auto"/>
        <w:ind w:left="567" w:firstLine="720"/>
        <w:contextualSpacing/>
        <w:jc w:val="both"/>
        <w:rPr>
          <w:rFonts w:ascii="Times New Roman" w:eastAsia="Times New Roman" w:hAnsi="Times New Roman" w:cs="Times New Roman"/>
          <w:bCs/>
          <w:kern w:val="24"/>
          <w:sz w:val="24"/>
          <w:szCs w:val="24"/>
          <w:lang w:eastAsia="es-PE"/>
        </w:rPr>
      </w:pPr>
      <w:r w:rsidRPr="00EB5E7F">
        <w:rPr>
          <w:rFonts w:ascii="Times New Roman" w:eastAsia="Calibri" w:hAnsi="Times New Roman" w:cs="Times New Roman"/>
          <w:b/>
          <w:sz w:val="24"/>
          <w:szCs w:val="24"/>
        </w:rPr>
        <w:t xml:space="preserve">Ho: </w:t>
      </w:r>
      <w:r w:rsidRPr="00EB5E7F">
        <w:rPr>
          <w:rFonts w:ascii="Times New Roman" w:eastAsia="Times New Roman" w:hAnsi="Times New Roman" w:cs="Times New Roman"/>
          <w:bCs/>
          <w:kern w:val="24"/>
          <w:sz w:val="24"/>
          <w:szCs w:val="24"/>
          <w:lang w:eastAsia="es-PE"/>
        </w:rPr>
        <w:t>Los Centros Mineros Artesanales (CMA) en proceso de formalización minera no se relacionan con las políticas de desarrollo sostenible en la minería peruana.</w:t>
      </w:r>
    </w:p>
    <w:p w14:paraId="6D27D28D" w14:textId="77777777" w:rsidR="00EB5E7F" w:rsidRPr="00EB5E7F" w:rsidRDefault="00EB5E7F" w:rsidP="00EB5E7F">
      <w:pPr>
        <w:tabs>
          <w:tab w:val="left" w:pos="1560"/>
          <w:tab w:val="left" w:pos="1843"/>
        </w:tabs>
        <w:spacing w:after="0" w:line="480" w:lineRule="auto"/>
        <w:ind w:left="567" w:firstLine="720"/>
        <w:contextualSpacing/>
        <w:jc w:val="both"/>
        <w:rPr>
          <w:rFonts w:ascii="Times New Roman" w:eastAsia="Times New Roman" w:hAnsi="Times New Roman" w:cs="Times New Roman"/>
          <w:bCs/>
          <w:kern w:val="24"/>
          <w:sz w:val="24"/>
          <w:szCs w:val="24"/>
          <w:lang w:eastAsia="es-PE"/>
        </w:rPr>
      </w:pPr>
      <w:r w:rsidRPr="00EB5E7F">
        <w:rPr>
          <w:rFonts w:ascii="Times New Roman" w:eastAsia="Calibri" w:hAnsi="Times New Roman" w:cs="Times New Roman"/>
          <w:b/>
          <w:sz w:val="24"/>
          <w:szCs w:val="24"/>
        </w:rPr>
        <w:t xml:space="preserve">Ha: </w:t>
      </w:r>
      <w:r w:rsidRPr="00EB5E7F">
        <w:rPr>
          <w:rFonts w:ascii="Times New Roman" w:eastAsia="Times New Roman" w:hAnsi="Times New Roman" w:cs="Times New Roman"/>
          <w:bCs/>
          <w:kern w:val="24"/>
          <w:sz w:val="24"/>
          <w:szCs w:val="24"/>
          <w:lang w:eastAsia="es-PE"/>
        </w:rPr>
        <w:t>Los Centros Mineros Artesanales (CMA) en proceso de formalización minera no se relacionan con las políticas de desarrollo sostenible en la minería peruana.</w:t>
      </w:r>
    </w:p>
    <w:p w14:paraId="4F77C930" w14:textId="2BE5AF98" w:rsidR="00EB5E7F" w:rsidRPr="00EB5E7F" w:rsidRDefault="00EB5E7F" w:rsidP="006D133C">
      <w:pPr>
        <w:tabs>
          <w:tab w:val="left" w:pos="1560"/>
          <w:tab w:val="left" w:pos="1843"/>
        </w:tabs>
        <w:spacing w:after="0" w:line="240" w:lineRule="auto"/>
        <w:ind w:left="709"/>
        <w:contextualSpacing/>
        <w:jc w:val="both"/>
        <w:rPr>
          <w:rFonts w:ascii="Times New Roman" w:eastAsia="Calibri" w:hAnsi="Times New Roman" w:cs="Times New Roman"/>
          <w:bCs/>
          <w:sz w:val="24"/>
          <w:szCs w:val="24"/>
        </w:rPr>
      </w:pPr>
      <w:bookmarkStart w:id="20" w:name="_Toc95394732"/>
      <w:r w:rsidRPr="00EB5E7F">
        <w:rPr>
          <w:rFonts w:ascii="Times New Roman" w:eastAsia="Calibri" w:hAnsi="Times New Roman" w:cs="Times New Roman"/>
          <w:b/>
          <w:sz w:val="24"/>
          <w:szCs w:val="24"/>
        </w:rPr>
        <w:t>Tabla</w:t>
      </w:r>
      <w:r w:rsidR="006D133C">
        <w:rPr>
          <w:rFonts w:ascii="Times New Roman" w:eastAsia="Calibri" w:hAnsi="Times New Roman" w:cs="Times New Roman"/>
          <w:b/>
          <w:sz w:val="24"/>
          <w:szCs w:val="24"/>
        </w:rPr>
        <w:tab/>
      </w:r>
      <w:r w:rsidR="006D133C" w:rsidRPr="006D133C">
        <w:rPr>
          <w:rFonts w:ascii="Times New Roman" w:eastAsia="Calibri" w:hAnsi="Times New Roman" w:cs="Times New Roman"/>
          <w:b/>
          <w:iCs/>
          <w:sz w:val="24"/>
          <w:szCs w:val="24"/>
        </w:rPr>
        <w:t>5</w:t>
      </w:r>
      <w:r w:rsidRPr="00EB5E7F">
        <w:rPr>
          <w:rFonts w:ascii="Times New Roman" w:eastAsia="Calibri" w:hAnsi="Times New Roman" w:cs="Times New Roman"/>
          <w:b/>
          <w:sz w:val="24"/>
          <w:szCs w:val="24"/>
        </w:rPr>
        <w:t xml:space="preserve">:  </w:t>
      </w:r>
      <w:r w:rsidRPr="00EB5E7F">
        <w:rPr>
          <w:rFonts w:ascii="Times New Roman" w:eastAsia="Calibri" w:hAnsi="Times New Roman" w:cs="Times New Roman"/>
          <w:b/>
          <w:sz w:val="24"/>
          <w:szCs w:val="24"/>
        </w:rPr>
        <w:br/>
      </w:r>
      <w:r w:rsidRPr="00EB5E7F">
        <w:rPr>
          <w:rFonts w:ascii="Times New Roman" w:eastAsia="Calibri" w:hAnsi="Times New Roman" w:cs="Times New Roman"/>
          <w:i/>
          <w:iCs/>
          <w:sz w:val="24"/>
          <w:szCs w:val="24"/>
        </w:rPr>
        <w:t xml:space="preserve">Correlación entre </w:t>
      </w:r>
      <w:r w:rsidRPr="00EB5E7F">
        <w:rPr>
          <w:rFonts w:ascii="Times New Roman" w:eastAsia="Times New Roman" w:hAnsi="Times New Roman" w:cs="Times New Roman"/>
          <w:bCs/>
          <w:i/>
          <w:iCs/>
          <w:kern w:val="24"/>
          <w:sz w:val="24"/>
          <w:szCs w:val="24"/>
          <w:lang w:eastAsia="es-PE"/>
        </w:rPr>
        <w:t xml:space="preserve">los centros Mineros Artesanales (CMA) en proceso de formalización minera </w:t>
      </w:r>
      <w:r w:rsidRPr="00EB5E7F">
        <w:rPr>
          <w:rFonts w:ascii="Times New Roman" w:eastAsia="Calibri" w:hAnsi="Times New Roman" w:cs="Times New Roman"/>
          <w:bCs/>
          <w:i/>
          <w:iCs/>
          <w:sz w:val="24"/>
          <w:szCs w:val="24"/>
        </w:rPr>
        <w:t>y las políticas de desarrollo sostenible en la minería peruana.</w:t>
      </w:r>
      <w:bookmarkEnd w:id="20"/>
    </w:p>
    <w:tbl>
      <w:tblPr>
        <w:tblW w:w="8208"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4"/>
        <w:gridCol w:w="1804"/>
        <w:gridCol w:w="1629"/>
        <w:gridCol w:w="2146"/>
        <w:gridCol w:w="1485"/>
      </w:tblGrid>
      <w:tr w:rsidR="00EB5E7F" w:rsidRPr="00EB5E7F" w14:paraId="5CF18C57" w14:textId="77777777" w:rsidTr="006D133C">
        <w:trPr>
          <w:cantSplit/>
          <w:trHeight w:val="1053"/>
        </w:trPr>
        <w:tc>
          <w:tcPr>
            <w:tcW w:w="4577" w:type="dxa"/>
            <w:gridSpan w:val="3"/>
            <w:tcBorders>
              <w:top w:val="nil"/>
              <w:left w:val="nil"/>
              <w:bottom w:val="single" w:sz="8" w:space="0" w:color="152935"/>
              <w:right w:val="nil"/>
            </w:tcBorders>
            <w:shd w:val="clear" w:color="auto" w:fill="auto"/>
            <w:vAlign w:val="bottom"/>
          </w:tcPr>
          <w:p w14:paraId="416E24BB" w14:textId="77777777" w:rsidR="00EB5E7F" w:rsidRPr="006D133C" w:rsidRDefault="00EB5E7F" w:rsidP="006D133C">
            <w:pPr>
              <w:autoSpaceDE w:val="0"/>
              <w:autoSpaceDN w:val="0"/>
              <w:adjustRightInd w:val="0"/>
              <w:spacing w:after="0" w:line="240" w:lineRule="auto"/>
              <w:ind w:left="360"/>
              <w:rPr>
                <w:rFonts w:ascii="Times New Roman" w:eastAsia="Calibri" w:hAnsi="Times New Roman" w:cs="Times New Roman"/>
                <w:sz w:val="24"/>
                <w:szCs w:val="24"/>
              </w:rPr>
            </w:pPr>
          </w:p>
        </w:tc>
        <w:tc>
          <w:tcPr>
            <w:tcW w:w="2146" w:type="dxa"/>
            <w:tcBorders>
              <w:top w:val="nil"/>
              <w:left w:val="nil"/>
              <w:bottom w:val="single" w:sz="8" w:space="0" w:color="152935"/>
              <w:right w:val="single" w:sz="8" w:space="0" w:color="E0E0E0"/>
            </w:tcBorders>
            <w:shd w:val="clear" w:color="auto" w:fill="auto"/>
            <w:vAlign w:val="bottom"/>
          </w:tcPr>
          <w:p w14:paraId="39840229"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Times New Roman" w:hAnsi="Times New Roman" w:cs="Times New Roman"/>
                <w:bCs/>
                <w:kern w:val="24"/>
                <w:sz w:val="24"/>
                <w:szCs w:val="24"/>
                <w:lang w:eastAsia="es-PE"/>
              </w:rPr>
              <w:t>Centros Mineros Artesanales (CMA) en proceso de formalización</w:t>
            </w:r>
          </w:p>
        </w:tc>
        <w:tc>
          <w:tcPr>
            <w:tcW w:w="1483" w:type="dxa"/>
            <w:tcBorders>
              <w:top w:val="nil"/>
              <w:left w:val="single" w:sz="8" w:space="0" w:color="E0E0E0"/>
              <w:bottom w:val="single" w:sz="8" w:space="0" w:color="152935"/>
              <w:right w:val="nil"/>
            </w:tcBorders>
            <w:shd w:val="clear" w:color="auto" w:fill="auto"/>
            <w:vAlign w:val="bottom"/>
          </w:tcPr>
          <w:p w14:paraId="1853ABC6"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bCs/>
                <w:sz w:val="24"/>
                <w:szCs w:val="24"/>
              </w:rPr>
              <w:t>Políticas de desarrollo sostenible</w:t>
            </w:r>
          </w:p>
        </w:tc>
      </w:tr>
      <w:tr w:rsidR="00EB5E7F" w:rsidRPr="00EB5E7F" w14:paraId="6F387D21" w14:textId="77777777" w:rsidTr="006D133C">
        <w:trPr>
          <w:cantSplit/>
          <w:trHeight w:val="641"/>
        </w:trPr>
        <w:tc>
          <w:tcPr>
            <w:tcW w:w="1144" w:type="dxa"/>
            <w:vMerge w:val="restart"/>
            <w:tcBorders>
              <w:top w:val="single" w:sz="8" w:space="0" w:color="152935"/>
              <w:left w:val="nil"/>
              <w:bottom w:val="single" w:sz="8" w:space="0" w:color="152935"/>
              <w:right w:val="nil"/>
            </w:tcBorders>
            <w:shd w:val="clear" w:color="auto" w:fill="auto"/>
          </w:tcPr>
          <w:p w14:paraId="39A1D566"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Rho de Spearman</w:t>
            </w:r>
          </w:p>
        </w:tc>
        <w:tc>
          <w:tcPr>
            <w:tcW w:w="1804" w:type="dxa"/>
            <w:vMerge w:val="restart"/>
            <w:tcBorders>
              <w:top w:val="single" w:sz="8" w:space="0" w:color="152935"/>
              <w:left w:val="nil"/>
              <w:bottom w:val="nil"/>
              <w:right w:val="nil"/>
            </w:tcBorders>
            <w:shd w:val="clear" w:color="auto" w:fill="auto"/>
          </w:tcPr>
          <w:p w14:paraId="10848432"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Times New Roman" w:hAnsi="Times New Roman" w:cs="Times New Roman"/>
                <w:bCs/>
                <w:kern w:val="24"/>
                <w:sz w:val="24"/>
                <w:szCs w:val="24"/>
                <w:lang w:eastAsia="es-PE"/>
              </w:rPr>
              <w:t>Centros Mineros Artesanales (CMA) en proceso de formalización</w:t>
            </w:r>
          </w:p>
        </w:tc>
        <w:tc>
          <w:tcPr>
            <w:tcW w:w="1628" w:type="dxa"/>
            <w:tcBorders>
              <w:top w:val="single" w:sz="8" w:space="0" w:color="152935"/>
              <w:left w:val="nil"/>
              <w:bottom w:val="single" w:sz="8" w:space="0" w:color="AEAEAE"/>
              <w:right w:val="nil"/>
            </w:tcBorders>
            <w:shd w:val="clear" w:color="auto" w:fill="auto"/>
          </w:tcPr>
          <w:p w14:paraId="46D03959"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Coeficiente de correlación</w:t>
            </w:r>
          </w:p>
        </w:tc>
        <w:tc>
          <w:tcPr>
            <w:tcW w:w="2146" w:type="dxa"/>
            <w:tcBorders>
              <w:top w:val="single" w:sz="8" w:space="0" w:color="152935"/>
              <w:left w:val="nil"/>
              <w:bottom w:val="single" w:sz="8" w:space="0" w:color="AEAEAE"/>
              <w:right w:val="single" w:sz="8" w:space="0" w:color="E0E0E0"/>
            </w:tcBorders>
            <w:shd w:val="clear" w:color="auto" w:fill="auto"/>
          </w:tcPr>
          <w:p w14:paraId="3D34D43D"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1,000</w:t>
            </w:r>
          </w:p>
        </w:tc>
        <w:tc>
          <w:tcPr>
            <w:tcW w:w="1483" w:type="dxa"/>
            <w:tcBorders>
              <w:top w:val="single" w:sz="8" w:space="0" w:color="152935"/>
              <w:left w:val="single" w:sz="8" w:space="0" w:color="E0E0E0"/>
              <w:bottom w:val="single" w:sz="8" w:space="0" w:color="AEAEAE"/>
              <w:right w:val="nil"/>
            </w:tcBorders>
            <w:shd w:val="clear" w:color="auto" w:fill="auto"/>
          </w:tcPr>
          <w:p w14:paraId="2EBEF7E3"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,732</w:t>
            </w:r>
            <w:r w:rsidRPr="006D133C">
              <w:rPr>
                <w:rFonts w:ascii="Times New Roman" w:eastAsia="Calibri" w:hAnsi="Times New Roman" w:cs="Times New Roman"/>
                <w:sz w:val="24"/>
                <w:szCs w:val="24"/>
                <w:vertAlign w:val="superscript"/>
              </w:rPr>
              <w:t>**</w:t>
            </w:r>
          </w:p>
        </w:tc>
      </w:tr>
      <w:tr w:rsidR="00EB5E7F" w:rsidRPr="00EB5E7F" w14:paraId="1936D587" w14:textId="77777777" w:rsidTr="006D133C">
        <w:trPr>
          <w:cantSplit/>
          <w:trHeight w:val="435"/>
        </w:trPr>
        <w:tc>
          <w:tcPr>
            <w:tcW w:w="1144" w:type="dxa"/>
            <w:vMerge/>
            <w:tcBorders>
              <w:top w:val="single" w:sz="8" w:space="0" w:color="152935"/>
              <w:left w:val="nil"/>
              <w:bottom w:val="single" w:sz="8" w:space="0" w:color="152935"/>
              <w:right w:val="nil"/>
            </w:tcBorders>
            <w:shd w:val="clear" w:color="auto" w:fill="auto"/>
          </w:tcPr>
          <w:p w14:paraId="652547A2" w14:textId="77777777" w:rsidR="00EB5E7F" w:rsidRPr="006D133C" w:rsidRDefault="00EB5E7F" w:rsidP="006D133C">
            <w:pPr>
              <w:autoSpaceDE w:val="0"/>
              <w:autoSpaceDN w:val="0"/>
              <w:adjustRightInd w:val="0"/>
              <w:spacing w:after="0" w:line="240" w:lineRule="auto"/>
              <w:ind w:left="360"/>
              <w:rPr>
                <w:rFonts w:ascii="Times New Roman" w:eastAsia="Calibri" w:hAnsi="Times New Roman" w:cs="Times New Roman"/>
                <w:sz w:val="24"/>
                <w:szCs w:val="24"/>
              </w:rPr>
            </w:pPr>
          </w:p>
        </w:tc>
        <w:tc>
          <w:tcPr>
            <w:tcW w:w="1804" w:type="dxa"/>
            <w:vMerge/>
            <w:tcBorders>
              <w:top w:val="single" w:sz="8" w:space="0" w:color="152935"/>
              <w:left w:val="nil"/>
              <w:bottom w:val="nil"/>
              <w:right w:val="nil"/>
            </w:tcBorders>
            <w:shd w:val="clear" w:color="auto" w:fill="auto"/>
          </w:tcPr>
          <w:p w14:paraId="6239FA60" w14:textId="77777777" w:rsidR="00EB5E7F" w:rsidRPr="006D133C" w:rsidRDefault="00EB5E7F" w:rsidP="006D133C">
            <w:pPr>
              <w:autoSpaceDE w:val="0"/>
              <w:autoSpaceDN w:val="0"/>
              <w:adjustRightInd w:val="0"/>
              <w:spacing w:after="0" w:line="240" w:lineRule="auto"/>
              <w:ind w:left="360"/>
              <w:rPr>
                <w:rFonts w:ascii="Times New Roman" w:eastAsia="Calibri" w:hAnsi="Times New Roman" w:cs="Times New Roman"/>
                <w:sz w:val="24"/>
                <w:szCs w:val="24"/>
              </w:rPr>
            </w:pPr>
          </w:p>
        </w:tc>
        <w:tc>
          <w:tcPr>
            <w:tcW w:w="1628" w:type="dxa"/>
            <w:tcBorders>
              <w:top w:val="single" w:sz="8" w:space="0" w:color="AEAEAE"/>
              <w:left w:val="nil"/>
              <w:bottom w:val="single" w:sz="8" w:space="0" w:color="AEAEAE"/>
              <w:right w:val="nil"/>
            </w:tcBorders>
            <w:shd w:val="clear" w:color="auto" w:fill="auto"/>
          </w:tcPr>
          <w:p w14:paraId="65471D9F"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Sig. (bilateral)</w:t>
            </w:r>
          </w:p>
        </w:tc>
        <w:tc>
          <w:tcPr>
            <w:tcW w:w="2146" w:type="dxa"/>
            <w:tcBorders>
              <w:top w:val="single" w:sz="8" w:space="0" w:color="AEAEAE"/>
              <w:left w:val="nil"/>
              <w:bottom w:val="single" w:sz="8" w:space="0" w:color="AEAEAE"/>
              <w:right w:val="single" w:sz="8" w:space="0" w:color="E0E0E0"/>
            </w:tcBorders>
            <w:shd w:val="clear" w:color="auto" w:fill="auto"/>
          </w:tcPr>
          <w:p w14:paraId="74485A6A"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w:t>
            </w:r>
          </w:p>
        </w:tc>
        <w:tc>
          <w:tcPr>
            <w:tcW w:w="1483" w:type="dxa"/>
            <w:tcBorders>
              <w:top w:val="single" w:sz="8" w:space="0" w:color="AEAEAE"/>
              <w:left w:val="single" w:sz="8" w:space="0" w:color="E0E0E0"/>
              <w:bottom w:val="single" w:sz="8" w:space="0" w:color="AEAEAE"/>
              <w:right w:val="nil"/>
            </w:tcBorders>
            <w:shd w:val="clear" w:color="auto" w:fill="auto"/>
          </w:tcPr>
          <w:p w14:paraId="16C185CD"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,000</w:t>
            </w:r>
          </w:p>
        </w:tc>
      </w:tr>
      <w:tr w:rsidR="00EB5E7F" w:rsidRPr="00EB5E7F" w14:paraId="1C88FE83" w14:textId="77777777" w:rsidTr="006D133C">
        <w:trPr>
          <w:cantSplit/>
          <w:trHeight w:val="217"/>
        </w:trPr>
        <w:tc>
          <w:tcPr>
            <w:tcW w:w="1144" w:type="dxa"/>
            <w:vMerge/>
            <w:tcBorders>
              <w:top w:val="single" w:sz="8" w:space="0" w:color="152935"/>
              <w:left w:val="nil"/>
              <w:bottom w:val="single" w:sz="8" w:space="0" w:color="152935"/>
              <w:right w:val="nil"/>
            </w:tcBorders>
            <w:shd w:val="clear" w:color="auto" w:fill="auto"/>
          </w:tcPr>
          <w:p w14:paraId="67AA5D87" w14:textId="77777777" w:rsidR="00EB5E7F" w:rsidRPr="006D133C" w:rsidRDefault="00EB5E7F" w:rsidP="006D133C">
            <w:pPr>
              <w:autoSpaceDE w:val="0"/>
              <w:autoSpaceDN w:val="0"/>
              <w:adjustRightInd w:val="0"/>
              <w:spacing w:after="0" w:line="240" w:lineRule="auto"/>
              <w:ind w:left="360"/>
              <w:rPr>
                <w:rFonts w:ascii="Times New Roman" w:eastAsia="Calibri" w:hAnsi="Times New Roman" w:cs="Times New Roman"/>
                <w:sz w:val="24"/>
                <w:szCs w:val="24"/>
              </w:rPr>
            </w:pPr>
          </w:p>
        </w:tc>
        <w:tc>
          <w:tcPr>
            <w:tcW w:w="1804" w:type="dxa"/>
            <w:vMerge/>
            <w:tcBorders>
              <w:top w:val="single" w:sz="8" w:space="0" w:color="152935"/>
              <w:left w:val="nil"/>
              <w:bottom w:val="nil"/>
              <w:right w:val="nil"/>
            </w:tcBorders>
            <w:shd w:val="clear" w:color="auto" w:fill="auto"/>
          </w:tcPr>
          <w:p w14:paraId="0DD2FACF" w14:textId="77777777" w:rsidR="00EB5E7F" w:rsidRPr="006D133C" w:rsidRDefault="00EB5E7F" w:rsidP="006D133C">
            <w:pPr>
              <w:autoSpaceDE w:val="0"/>
              <w:autoSpaceDN w:val="0"/>
              <w:adjustRightInd w:val="0"/>
              <w:spacing w:after="0" w:line="240" w:lineRule="auto"/>
              <w:ind w:left="360"/>
              <w:rPr>
                <w:rFonts w:ascii="Times New Roman" w:eastAsia="Calibri" w:hAnsi="Times New Roman" w:cs="Times New Roman"/>
                <w:sz w:val="24"/>
                <w:szCs w:val="24"/>
              </w:rPr>
            </w:pPr>
          </w:p>
        </w:tc>
        <w:tc>
          <w:tcPr>
            <w:tcW w:w="1628" w:type="dxa"/>
            <w:tcBorders>
              <w:top w:val="single" w:sz="8" w:space="0" w:color="AEAEAE"/>
              <w:left w:val="nil"/>
              <w:bottom w:val="nil"/>
              <w:right w:val="nil"/>
            </w:tcBorders>
            <w:shd w:val="clear" w:color="auto" w:fill="auto"/>
          </w:tcPr>
          <w:p w14:paraId="71EC86DA"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N</w:t>
            </w:r>
          </w:p>
        </w:tc>
        <w:tc>
          <w:tcPr>
            <w:tcW w:w="2146" w:type="dxa"/>
            <w:tcBorders>
              <w:top w:val="single" w:sz="8" w:space="0" w:color="AEAEAE"/>
              <w:left w:val="nil"/>
              <w:bottom w:val="nil"/>
              <w:right w:val="single" w:sz="8" w:space="0" w:color="E0E0E0"/>
            </w:tcBorders>
            <w:shd w:val="clear" w:color="auto" w:fill="auto"/>
          </w:tcPr>
          <w:p w14:paraId="19FE471E"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100</w:t>
            </w:r>
          </w:p>
        </w:tc>
        <w:tc>
          <w:tcPr>
            <w:tcW w:w="1483" w:type="dxa"/>
            <w:tcBorders>
              <w:top w:val="single" w:sz="8" w:space="0" w:color="AEAEAE"/>
              <w:left w:val="single" w:sz="8" w:space="0" w:color="E0E0E0"/>
              <w:bottom w:val="nil"/>
              <w:right w:val="nil"/>
            </w:tcBorders>
            <w:shd w:val="clear" w:color="auto" w:fill="auto"/>
          </w:tcPr>
          <w:p w14:paraId="4AFB0F5B"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100</w:t>
            </w:r>
          </w:p>
        </w:tc>
      </w:tr>
      <w:tr w:rsidR="00EB5E7F" w:rsidRPr="00EB5E7F" w14:paraId="6369B3D3" w14:textId="77777777" w:rsidTr="006D133C">
        <w:trPr>
          <w:cantSplit/>
          <w:trHeight w:val="652"/>
        </w:trPr>
        <w:tc>
          <w:tcPr>
            <w:tcW w:w="1144" w:type="dxa"/>
            <w:vMerge/>
            <w:tcBorders>
              <w:top w:val="single" w:sz="8" w:space="0" w:color="152935"/>
              <w:left w:val="nil"/>
              <w:bottom w:val="single" w:sz="8" w:space="0" w:color="152935"/>
              <w:right w:val="nil"/>
            </w:tcBorders>
            <w:shd w:val="clear" w:color="auto" w:fill="auto"/>
          </w:tcPr>
          <w:p w14:paraId="4E98A302" w14:textId="77777777" w:rsidR="00EB5E7F" w:rsidRPr="006D133C" w:rsidRDefault="00EB5E7F" w:rsidP="006D133C">
            <w:pPr>
              <w:autoSpaceDE w:val="0"/>
              <w:autoSpaceDN w:val="0"/>
              <w:adjustRightInd w:val="0"/>
              <w:spacing w:after="0" w:line="240" w:lineRule="auto"/>
              <w:ind w:left="360"/>
              <w:rPr>
                <w:rFonts w:ascii="Times New Roman" w:eastAsia="Calibri" w:hAnsi="Times New Roman" w:cs="Times New Roman"/>
                <w:sz w:val="24"/>
                <w:szCs w:val="24"/>
              </w:rPr>
            </w:pPr>
          </w:p>
        </w:tc>
        <w:tc>
          <w:tcPr>
            <w:tcW w:w="1804" w:type="dxa"/>
            <w:vMerge w:val="restart"/>
            <w:tcBorders>
              <w:top w:val="single" w:sz="8" w:space="0" w:color="AEAEAE"/>
              <w:left w:val="nil"/>
              <w:bottom w:val="single" w:sz="8" w:space="0" w:color="152935"/>
              <w:right w:val="nil"/>
            </w:tcBorders>
            <w:shd w:val="clear" w:color="auto" w:fill="auto"/>
          </w:tcPr>
          <w:p w14:paraId="50B25F23"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bCs/>
                <w:sz w:val="24"/>
                <w:szCs w:val="24"/>
              </w:rPr>
              <w:t>Políticas de desarrollo sostenible</w:t>
            </w:r>
          </w:p>
        </w:tc>
        <w:tc>
          <w:tcPr>
            <w:tcW w:w="1628" w:type="dxa"/>
            <w:tcBorders>
              <w:top w:val="single" w:sz="8" w:space="0" w:color="AEAEAE"/>
              <w:left w:val="nil"/>
              <w:bottom w:val="single" w:sz="8" w:space="0" w:color="AEAEAE"/>
              <w:right w:val="nil"/>
            </w:tcBorders>
            <w:shd w:val="clear" w:color="auto" w:fill="auto"/>
          </w:tcPr>
          <w:p w14:paraId="65F8B2A1"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Coeficiente de correlación</w:t>
            </w:r>
          </w:p>
        </w:tc>
        <w:tc>
          <w:tcPr>
            <w:tcW w:w="2146" w:type="dxa"/>
            <w:tcBorders>
              <w:top w:val="single" w:sz="8" w:space="0" w:color="AEAEAE"/>
              <w:left w:val="nil"/>
              <w:bottom w:val="single" w:sz="8" w:space="0" w:color="AEAEAE"/>
              <w:right w:val="single" w:sz="8" w:space="0" w:color="E0E0E0"/>
            </w:tcBorders>
            <w:shd w:val="clear" w:color="auto" w:fill="auto"/>
          </w:tcPr>
          <w:p w14:paraId="10E9C06E"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 732</w:t>
            </w:r>
            <w:r w:rsidRPr="006D133C">
              <w:rPr>
                <w:rFonts w:ascii="Times New Roman" w:eastAsia="Calibri" w:hAnsi="Times New Roman" w:cs="Times New Roman"/>
                <w:sz w:val="24"/>
                <w:szCs w:val="24"/>
                <w:vertAlign w:val="superscript"/>
              </w:rPr>
              <w:t>**</w:t>
            </w:r>
          </w:p>
        </w:tc>
        <w:tc>
          <w:tcPr>
            <w:tcW w:w="1483" w:type="dxa"/>
            <w:tcBorders>
              <w:top w:val="single" w:sz="8" w:space="0" w:color="AEAEAE"/>
              <w:left w:val="single" w:sz="8" w:space="0" w:color="E0E0E0"/>
              <w:bottom w:val="single" w:sz="8" w:space="0" w:color="AEAEAE"/>
              <w:right w:val="nil"/>
            </w:tcBorders>
            <w:shd w:val="clear" w:color="auto" w:fill="auto"/>
          </w:tcPr>
          <w:p w14:paraId="7287EBB0"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1,000</w:t>
            </w:r>
          </w:p>
        </w:tc>
      </w:tr>
      <w:tr w:rsidR="00EB5E7F" w:rsidRPr="00EB5E7F" w14:paraId="30EA9B70" w14:textId="77777777" w:rsidTr="006D133C">
        <w:trPr>
          <w:cantSplit/>
          <w:trHeight w:val="435"/>
        </w:trPr>
        <w:tc>
          <w:tcPr>
            <w:tcW w:w="1144" w:type="dxa"/>
            <w:vMerge/>
            <w:tcBorders>
              <w:top w:val="single" w:sz="8" w:space="0" w:color="152935"/>
              <w:left w:val="nil"/>
              <w:bottom w:val="single" w:sz="8" w:space="0" w:color="152935"/>
              <w:right w:val="nil"/>
            </w:tcBorders>
            <w:shd w:val="clear" w:color="auto" w:fill="auto"/>
          </w:tcPr>
          <w:p w14:paraId="69248D47" w14:textId="77777777" w:rsidR="00EB5E7F" w:rsidRPr="006D133C" w:rsidRDefault="00EB5E7F" w:rsidP="006D133C">
            <w:pPr>
              <w:autoSpaceDE w:val="0"/>
              <w:autoSpaceDN w:val="0"/>
              <w:adjustRightInd w:val="0"/>
              <w:spacing w:after="0" w:line="240" w:lineRule="auto"/>
              <w:ind w:left="360"/>
              <w:rPr>
                <w:rFonts w:ascii="Times New Roman" w:eastAsia="Calibri" w:hAnsi="Times New Roman" w:cs="Times New Roman"/>
                <w:sz w:val="24"/>
                <w:szCs w:val="24"/>
              </w:rPr>
            </w:pPr>
          </w:p>
        </w:tc>
        <w:tc>
          <w:tcPr>
            <w:tcW w:w="1804" w:type="dxa"/>
            <w:vMerge/>
            <w:tcBorders>
              <w:top w:val="single" w:sz="8" w:space="0" w:color="AEAEAE"/>
              <w:left w:val="nil"/>
              <w:bottom w:val="single" w:sz="8" w:space="0" w:color="152935"/>
              <w:right w:val="nil"/>
            </w:tcBorders>
            <w:shd w:val="clear" w:color="auto" w:fill="auto"/>
          </w:tcPr>
          <w:p w14:paraId="3A4CBEA6" w14:textId="77777777" w:rsidR="00EB5E7F" w:rsidRPr="006D133C" w:rsidRDefault="00EB5E7F" w:rsidP="006D133C">
            <w:pPr>
              <w:autoSpaceDE w:val="0"/>
              <w:autoSpaceDN w:val="0"/>
              <w:adjustRightInd w:val="0"/>
              <w:spacing w:after="0" w:line="240" w:lineRule="auto"/>
              <w:ind w:left="360"/>
              <w:rPr>
                <w:rFonts w:ascii="Times New Roman" w:eastAsia="Calibri" w:hAnsi="Times New Roman" w:cs="Times New Roman"/>
                <w:sz w:val="24"/>
                <w:szCs w:val="24"/>
              </w:rPr>
            </w:pPr>
          </w:p>
        </w:tc>
        <w:tc>
          <w:tcPr>
            <w:tcW w:w="1628" w:type="dxa"/>
            <w:tcBorders>
              <w:top w:val="single" w:sz="8" w:space="0" w:color="AEAEAE"/>
              <w:left w:val="nil"/>
              <w:bottom w:val="single" w:sz="8" w:space="0" w:color="AEAEAE"/>
              <w:right w:val="nil"/>
            </w:tcBorders>
            <w:shd w:val="clear" w:color="auto" w:fill="auto"/>
          </w:tcPr>
          <w:p w14:paraId="2D3AC8B0"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Sig. (bilateral)</w:t>
            </w:r>
          </w:p>
        </w:tc>
        <w:tc>
          <w:tcPr>
            <w:tcW w:w="2146" w:type="dxa"/>
            <w:tcBorders>
              <w:top w:val="single" w:sz="8" w:space="0" w:color="AEAEAE"/>
              <w:left w:val="nil"/>
              <w:bottom w:val="single" w:sz="8" w:space="0" w:color="AEAEAE"/>
              <w:right w:val="single" w:sz="8" w:space="0" w:color="E0E0E0"/>
            </w:tcBorders>
            <w:shd w:val="clear" w:color="auto" w:fill="auto"/>
          </w:tcPr>
          <w:p w14:paraId="4331CE5F"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,000</w:t>
            </w:r>
          </w:p>
        </w:tc>
        <w:tc>
          <w:tcPr>
            <w:tcW w:w="1483" w:type="dxa"/>
            <w:tcBorders>
              <w:top w:val="single" w:sz="8" w:space="0" w:color="AEAEAE"/>
              <w:left w:val="single" w:sz="8" w:space="0" w:color="E0E0E0"/>
              <w:bottom w:val="single" w:sz="8" w:space="0" w:color="AEAEAE"/>
              <w:right w:val="nil"/>
            </w:tcBorders>
            <w:shd w:val="clear" w:color="auto" w:fill="auto"/>
          </w:tcPr>
          <w:p w14:paraId="68C6E275"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w:t>
            </w:r>
          </w:p>
        </w:tc>
      </w:tr>
      <w:tr w:rsidR="00EB5E7F" w:rsidRPr="00EB5E7F" w14:paraId="3821ECAE" w14:textId="77777777" w:rsidTr="006D133C">
        <w:trPr>
          <w:cantSplit/>
          <w:trHeight w:val="228"/>
        </w:trPr>
        <w:tc>
          <w:tcPr>
            <w:tcW w:w="1144" w:type="dxa"/>
            <w:vMerge/>
            <w:tcBorders>
              <w:top w:val="single" w:sz="8" w:space="0" w:color="152935"/>
              <w:left w:val="nil"/>
              <w:bottom w:val="single" w:sz="8" w:space="0" w:color="152935"/>
              <w:right w:val="nil"/>
            </w:tcBorders>
            <w:shd w:val="clear" w:color="auto" w:fill="auto"/>
          </w:tcPr>
          <w:p w14:paraId="3359F7F9" w14:textId="77777777" w:rsidR="00EB5E7F" w:rsidRPr="006D133C" w:rsidRDefault="00EB5E7F" w:rsidP="006D133C">
            <w:pPr>
              <w:autoSpaceDE w:val="0"/>
              <w:autoSpaceDN w:val="0"/>
              <w:adjustRightInd w:val="0"/>
              <w:spacing w:after="0" w:line="240" w:lineRule="auto"/>
              <w:ind w:left="360"/>
              <w:rPr>
                <w:rFonts w:ascii="Times New Roman" w:eastAsia="Calibri" w:hAnsi="Times New Roman" w:cs="Times New Roman"/>
                <w:sz w:val="24"/>
                <w:szCs w:val="24"/>
              </w:rPr>
            </w:pPr>
          </w:p>
        </w:tc>
        <w:tc>
          <w:tcPr>
            <w:tcW w:w="1804" w:type="dxa"/>
            <w:vMerge/>
            <w:tcBorders>
              <w:top w:val="single" w:sz="8" w:space="0" w:color="AEAEAE"/>
              <w:left w:val="nil"/>
              <w:bottom w:val="single" w:sz="8" w:space="0" w:color="152935"/>
              <w:right w:val="nil"/>
            </w:tcBorders>
            <w:shd w:val="clear" w:color="auto" w:fill="auto"/>
          </w:tcPr>
          <w:p w14:paraId="1D8ACE98" w14:textId="77777777" w:rsidR="00EB5E7F" w:rsidRPr="006D133C" w:rsidRDefault="00EB5E7F" w:rsidP="006D133C">
            <w:pPr>
              <w:autoSpaceDE w:val="0"/>
              <w:autoSpaceDN w:val="0"/>
              <w:adjustRightInd w:val="0"/>
              <w:spacing w:after="0" w:line="240" w:lineRule="auto"/>
              <w:ind w:left="360"/>
              <w:rPr>
                <w:rFonts w:ascii="Times New Roman" w:eastAsia="Calibri" w:hAnsi="Times New Roman" w:cs="Times New Roman"/>
                <w:sz w:val="24"/>
                <w:szCs w:val="24"/>
              </w:rPr>
            </w:pPr>
          </w:p>
        </w:tc>
        <w:tc>
          <w:tcPr>
            <w:tcW w:w="1628" w:type="dxa"/>
            <w:tcBorders>
              <w:top w:val="single" w:sz="8" w:space="0" w:color="AEAEAE"/>
              <w:left w:val="nil"/>
              <w:bottom w:val="single" w:sz="8" w:space="0" w:color="152935"/>
              <w:right w:val="nil"/>
            </w:tcBorders>
            <w:shd w:val="clear" w:color="auto" w:fill="auto"/>
          </w:tcPr>
          <w:p w14:paraId="71246D77"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N</w:t>
            </w:r>
          </w:p>
        </w:tc>
        <w:tc>
          <w:tcPr>
            <w:tcW w:w="2146" w:type="dxa"/>
            <w:tcBorders>
              <w:top w:val="single" w:sz="8" w:space="0" w:color="AEAEAE"/>
              <w:left w:val="nil"/>
              <w:bottom w:val="single" w:sz="8" w:space="0" w:color="152935"/>
              <w:right w:val="single" w:sz="8" w:space="0" w:color="E0E0E0"/>
            </w:tcBorders>
            <w:shd w:val="clear" w:color="auto" w:fill="auto"/>
          </w:tcPr>
          <w:p w14:paraId="1D885CAD"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100</w:t>
            </w:r>
          </w:p>
        </w:tc>
        <w:tc>
          <w:tcPr>
            <w:tcW w:w="1483" w:type="dxa"/>
            <w:tcBorders>
              <w:top w:val="single" w:sz="8" w:space="0" w:color="AEAEAE"/>
              <w:left w:val="single" w:sz="8" w:space="0" w:color="E0E0E0"/>
              <w:bottom w:val="single" w:sz="8" w:space="0" w:color="152935"/>
              <w:right w:val="nil"/>
            </w:tcBorders>
            <w:shd w:val="clear" w:color="auto" w:fill="auto"/>
          </w:tcPr>
          <w:p w14:paraId="135828CD" w14:textId="77777777" w:rsidR="00EB5E7F" w:rsidRPr="006D133C" w:rsidRDefault="00EB5E7F" w:rsidP="006D133C">
            <w:pPr>
              <w:autoSpaceDE w:val="0"/>
              <w:autoSpaceDN w:val="0"/>
              <w:adjustRightInd w:val="0"/>
              <w:spacing w:after="0" w:line="240" w:lineRule="auto"/>
              <w:ind w:left="360" w:right="60"/>
              <w:rPr>
                <w:rFonts w:ascii="Times New Roman" w:eastAsia="Calibri" w:hAnsi="Times New Roman" w:cs="Times New Roman"/>
                <w:sz w:val="24"/>
                <w:szCs w:val="24"/>
              </w:rPr>
            </w:pPr>
            <w:r w:rsidRPr="006D133C">
              <w:rPr>
                <w:rFonts w:ascii="Times New Roman" w:eastAsia="Calibri" w:hAnsi="Times New Roman" w:cs="Times New Roman"/>
                <w:sz w:val="24"/>
                <w:szCs w:val="24"/>
              </w:rPr>
              <w:t>100</w:t>
            </w:r>
          </w:p>
        </w:tc>
      </w:tr>
      <w:tr w:rsidR="00EB5E7F" w:rsidRPr="00EB5E7F" w14:paraId="72365E45" w14:textId="77777777" w:rsidTr="006D133C">
        <w:trPr>
          <w:cantSplit/>
          <w:trHeight w:val="240"/>
        </w:trPr>
        <w:tc>
          <w:tcPr>
            <w:tcW w:w="8208" w:type="dxa"/>
            <w:gridSpan w:val="5"/>
            <w:tcBorders>
              <w:top w:val="nil"/>
              <w:left w:val="nil"/>
              <w:bottom w:val="nil"/>
              <w:right w:val="nil"/>
            </w:tcBorders>
            <w:shd w:val="clear" w:color="auto" w:fill="auto"/>
          </w:tcPr>
          <w:p w14:paraId="0881AF7F" w14:textId="77777777" w:rsidR="00EB5E7F" w:rsidRPr="00EB5E7F" w:rsidRDefault="00EB5E7F" w:rsidP="00EB5E7F">
            <w:pPr>
              <w:autoSpaceDE w:val="0"/>
              <w:autoSpaceDN w:val="0"/>
              <w:adjustRightInd w:val="0"/>
              <w:spacing w:after="0" w:line="320" w:lineRule="atLeast"/>
              <w:ind w:left="60" w:right="60" w:firstLine="720"/>
              <w:jc w:val="both"/>
              <w:rPr>
                <w:rFonts w:ascii="Times New Roman" w:eastAsia="Calibri" w:hAnsi="Times New Roman" w:cs="Times New Roman"/>
                <w:sz w:val="24"/>
                <w:szCs w:val="24"/>
              </w:rPr>
            </w:pPr>
            <w:r w:rsidRPr="00EB5E7F">
              <w:rPr>
                <w:rFonts w:ascii="Times New Roman" w:eastAsia="Calibri" w:hAnsi="Times New Roman" w:cs="Times New Roman"/>
                <w:sz w:val="24"/>
                <w:szCs w:val="24"/>
              </w:rPr>
              <w:t>**. La correlación es significativa en el nivel 0,01 (bilateral).</w:t>
            </w:r>
          </w:p>
        </w:tc>
      </w:tr>
    </w:tbl>
    <w:p w14:paraId="2ACB73AE" w14:textId="77777777" w:rsidR="00EB5E7F" w:rsidRPr="00EB5E7F" w:rsidRDefault="00EB5E7F" w:rsidP="00EB5E7F">
      <w:pPr>
        <w:spacing w:after="0" w:line="480" w:lineRule="auto"/>
        <w:ind w:left="709" w:firstLine="720"/>
        <w:jc w:val="both"/>
        <w:rPr>
          <w:rFonts w:ascii="Times New Roman" w:eastAsia="Calibri" w:hAnsi="Times New Roman" w:cs="Times New Roman"/>
          <w:bCs/>
          <w:sz w:val="24"/>
          <w:szCs w:val="24"/>
          <w:lang w:eastAsia="es-PE"/>
        </w:rPr>
      </w:pPr>
      <w:r w:rsidRPr="00EB5E7F">
        <w:rPr>
          <w:rFonts w:ascii="Times New Roman" w:eastAsia="Calibri" w:hAnsi="Times New Roman" w:cs="Times New Roman"/>
          <w:bCs/>
          <w:sz w:val="24"/>
          <w:szCs w:val="24"/>
          <w:lang w:eastAsia="es-PE"/>
        </w:rPr>
        <w:t>Fuente: Elaboración Propia</w:t>
      </w:r>
    </w:p>
    <w:p w14:paraId="5A21A25E" w14:textId="77777777" w:rsidR="00EB5E7F" w:rsidRPr="00EB5E7F" w:rsidRDefault="00EB5E7F" w:rsidP="00EB5E7F">
      <w:pPr>
        <w:spacing w:after="0" w:line="480" w:lineRule="auto"/>
        <w:ind w:left="707" w:firstLine="221"/>
        <w:contextualSpacing/>
        <w:jc w:val="both"/>
        <w:rPr>
          <w:rFonts w:ascii="Times New Roman" w:eastAsia="Calibri" w:hAnsi="Times New Roman" w:cs="Times New Roman"/>
          <w:sz w:val="24"/>
          <w:szCs w:val="22"/>
        </w:rPr>
      </w:pPr>
      <w:r w:rsidRPr="00EB5E7F">
        <w:rPr>
          <w:rFonts w:ascii="Times New Roman" w:eastAsia="Calibri" w:hAnsi="Times New Roman" w:cs="Times New Roman"/>
          <w:b/>
          <w:i/>
          <w:sz w:val="24"/>
          <w:szCs w:val="24"/>
        </w:rPr>
        <w:t>Interpretación:</w:t>
      </w:r>
      <w:r w:rsidRPr="00EB5E7F">
        <w:rPr>
          <w:rFonts w:ascii="Times New Roman" w:eastAsia="Calibri" w:hAnsi="Times New Roman" w:cs="Times New Roman"/>
          <w:i/>
          <w:sz w:val="24"/>
          <w:szCs w:val="24"/>
        </w:rPr>
        <w:t xml:space="preserve"> </w:t>
      </w:r>
      <w:r w:rsidRPr="00EB5E7F">
        <w:rPr>
          <w:rFonts w:ascii="Times New Roman" w:eastAsia="Calibri" w:hAnsi="Times New Roman" w:cs="Times New Roman"/>
          <w:sz w:val="24"/>
          <w:szCs w:val="24"/>
        </w:rPr>
        <w:t xml:space="preserve">Según los resultados obtenidos para comprobar la hipótesis especifica 3 se ha obtenido que el coeficiente de correlación Rho de Spearman, que tiene el valor de 0. 732** y </w:t>
      </w:r>
      <w:proofErr w:type="gramStart"/>
      <w:r w:rsidRPr="00EB5E7F">
        <w:rPr>
          <w:rFonts w:ascii="Times New Roman" w:eastAsia="Calibri" w:hAnsi="Times New Roman" w:cs="Times New Roman"/>
          <w:sz w:val="24"/>
          <w:szCs w:val="24"/>
        </w:rPr>
        <w:t>el sigma</w:t>
      </w:r>
      <w:proofErr w:type="gramEnd"/>
      <w:r w:rsidRPr="00EB5E7F">
        <w:rPr>
          <w:rFonts w:ascii="Times New Roman" w:eastAsia="Calibri" w:hAnsi="Times New Roman" w:cs="Times New Roman"/>
          <w:sz w:val="24"/>
          <w:szCs w:val="24"/>
        </w:rPr>
        <w:t xml:space="preserve"> (bilateral) es de 0,000 el mismo que es menor al parámetro teórico de 0,05 lo que nos permite afirmar que la hipótesis alterna se cumple entonces: </w:t>
      </w:r>
      <w:r w:rsidRPr="00EB5E7F">
        <w:rPr>
          <w:rFonts w:ascii="Times New Roman" w:eastAsia="Calibri" w:hAnsi="Times New Roman" w:cs="Times New Roman"/>
          <w:bCs/>
          <w:sz w:val="24"/>
          <w:szCs w:val="24"/>
        </w:rPr>
        <w:t>Los Centros Mineros Artesanales (CMA) en proceso de formalización minera no se relacionan con las políticas de desarrollo sostenible en la minería peruana.</w:t>
      </w:r>
    </w:p>
    <w:p w14:paraId="575EC6EA" w14:textId="77777777" w:rsidR="00EB5E7F" w:rsidRPr="00EB5E7F" w:rsidRDefault="00EB5E7F" w:rsidP="00EB5E7F">
      <w:pPr>
        <w:numPr>
          <w:ilvl w:val="0"/>
          <w:numId w:val="18"/>
        </w:numPr>
        <w:spacing w:after="0" w:line="480" w:lineRule="auto"/>
        <w:ind w:left="567" w:hanging="425"/>
        <w:contextualSpacing/>
        <w:jc w:val="both"/>
        <w:rPr>
          <w:rFonts w:ascii="Times New Roman" w:eastAsia="Calibri" w:hAnsi="Times New Roman" w:cs="Times New Roman"/>
          <w:b/>
          <w:iCs/>
          <w:sz w:val="24"/>
          <w:szCs w:val="24"/>
        </w:rPr>
      </w:pPr>
      <w:r w:rsidRPr="00EB5E7F">
        <w:rPr>
          <w:rFonts w:ascii="Times New Roman" w:eastAsia="Calibri" w:hAnsi="Times New Roman" w:cs="Times New Roman"/>
          <w:b/>
          <w:iCs/>
          <w:sz w:val="24"/>
          <w:szCs w:val="24"/>
        </w:rPr>
        <w:t>Hipótesis específica 5.</w:t>
      </w:r>
    </w:p>
    <w:p w14:paraId="6A01E5E2" w14:textId="77777777" w:rsidR="00EB5E7F" w:rsidRPr="00EB5E7F" w:rsidRDefault="00EB5E7F" w:rsidP="00EB5E7F">
      <w:pPr>
        <w:tabs>
          <w:tab w:val="left" w:pos="1843"/>
        </w:tabs>
        <w:spacing w:after="0" w:line="480" w:lineRule="auto"/>
        <w:ind w:left="567" w:firstLine="720"/>
        <w:contextualSpacing/>
        <w:jc w:val="both"/>
        <w:rPr>
          <w:rFonts w:ascii="Times New Roman" w:eastAsia="Times New Roman" w:hAnsi="Times New Roman" w:cs="Times New Roman"/>
          <w:bCs/>
          <w:kern w:val="24"/>
          <w:sz w:val="24"/>
          <w:szCs w:val="24"/>
          <w:lang w:eastAsia="es-PE"/>
        </w:rPr>
      </w:pPr>
      <w:r w:rsidRPr="00EB5E7F">
        <w:rPr>
          <w:rFonts w:ascii="Times New Roman" w:eastAsia="Calibri" w:hAnsi="Times New Roman" w:cs="Times New Roman"/>
          <w:b/>
          <w:sz w:val="24"/>
          <w:szCs w:val="24"/>
        </w:rPr>
        <w:t xml:space="preserve">Ho: </w:t>
      </w:r>
      <w:r w:rsidRPr="00EB5E7F">
        <w:rPr>
          <w:rFonts w:ascii="Times New Roman" w:eastAsia="Times New Roman" w:hAnsi="Times New Roman" w:cs="Times New Roman"/>
          <w:bCs/>
          <w:kern w:val="24"/>
          <w:sz w:val="24"/>
          <w:szCs w:val="24"/>
          <w:lang w:eastAsia="es-PE"/>
        </w:rPr>
        <w:t>Las condiciones de vida y educativas en los CMA en proceso de formalización no se relacionan con las políticas de desarrollo sostenible en la minería peruana.</w:t>
      </w:r>
    </w:p>
    <w:p w14:paraId="65DCF800" w14:textId="77777777" w:rsidR="00EB5E7F" w:rsidRPr="00EB5E7F" w:rsidRDefault="00EB5E7F" w:rsidP="00EB5E7F">
      <w:pPr>
        <w:tabs>
          <w:tab w:val="left" w:pos="1843"/>
        </w:tabs>
        <w:spacing w:after="0" w:line="480" w:lineRule="auto"/>
        <w:ind w:left="567" w:firstLine="720"/>
        <w:contextualSpacing/>
        <w:jc w:val="both"/>
        <w:rPr>
          <w:rFonts w:ascii="Times New Roman" w:eastAsia="Times New Roman" w:hAnsi="Times New Roman" w:cs="Times New Roman"/>
          <w:bCs/>
          <w:kern w:val="24"/>
          <w:sz w:val="24"/>
          <w:szCs w:val="24"/>
          <w:lang w:eastAsia="es-PE"/>
        </w:rPr>
      </w:pPr>
      <w:r w:rsidRPr="00EB5E7F">
        <w:rPr>
          <w:rFonts w:ascii="Times New Roman" w:eastAsia="Calibri" w:hAnsi="Times New Roman" w:cs="Times New Roman"/>
          <w:b/>
          <w:sz w:val="24"/>
          <w:szCs w:val="24"/>
        </w:rPr>
        <w:t xml:space="preserve">Ha: </w:t>
      </w:r>
      <w:r w:rsidRPr="00EB5E7F">
        <w:rPr>
          <w:rFonts w:ascii="Times New Roman" w:eastAsia="Times New Roman" w:hAnsi="Times New Roman" w:cs="Times New Roman"/>
          <w:bCs/>
          <w:kern w:val="24"/>
          <w:sz w:val="24"/>
          <w:szCs w:val="24"/>
          <w:lang w:eastAsia="es-PE"/>
        </w:rPr>
        <w:t>Las condiciones de vida y educativas en los CMA en proceso de formalización se relacionan con las políticas de desarrollo sostenible en la minería peruana.</w:t>
      </w:r>
    </w:p>
    <w:p w14:paraId="6922FD3A" w14:textId="7CD8E857" w:rsidR="00EB5E7F" w:rsidRPr="00EB5E7F" w:rsidRDefault="00EB5E7F" w:rsidP="006D133C">
      <w:pPr>
        <w:keepNext/>
        <w:spacing w:after="0" w:line="240" w:lineRule="auto"/>
        <w:ind w:left="567"/>
        <w:jc w:val="both"/>
        <w:rPr>
          <w:rFonts w:ascii="Times New Roman" w:eastAsia="Calibri" w:hAnsi="Times New Roman" w:cs="Times New Roman"/>
          <w:i/>
          <w:iCs/>
          <w:sz w:val="22"/>
          <w:szCs w:val="22"/>
        </w:rPr>
      </w:pPr>
      <w:bookmarkStart w:id="21" w:name="_Toc95394733"/>
      <w:r w:rsidRPr="00EB5E7F">
        <w:rPr>
          <w:rFonts w:ascii="Times New Roman" w:eastAsia="Calibri" w:hAnsi="Times New Roman" w:cs="Times New Roman"/>
          <w:b/>
          <w:bCs/>
          <w:sz w:val="22"/>
          <w:szCs w:val="22"/>
        </w:rPr>
        <w:t>Tabla</w:t>
      </w:r>
      <w:r w:rsidR="006D133C" w:rsidRPr="006D133C">
        <w:rPr>
          <w:rFonts w:ascii="Times New Roman" w:eastAsia="Calibri" w:hAnsi="Times New Roman" w:cs="Times New Roman"/>
          <w:b/>
          <w:bCs/>
          <w:sz w:val="22"/>
          <w:szCs w:val="22"/>
        </w:rPr>
        <w:tab/>
        <w:t>6</w:t>
      </w:r>
      <w:r w:rsidRPr="00EB5E7F">
        <w:rPr>
          <w:rFonts w:ascii="Times New Roman" w:eastAsia="Calibri" w:hAnsi="Times New Roman" w:cs="Times New Roman"/>
          <w:b/>
          <w:bCs/>
          <w:sz w:val="22"/>
          <w:szCs w:val="22"/>
        </w:rPr>
        <w:t>.</w:t>
      </w:r>
      <w:r w:rsidRPr="00EB5E7F">
        <w:rPr>
          <w:rFonts w:ascii="Times New Roman" w:eastAsia="Calibri" w:hAnsi="Times New Roman" w:cs="Times New Roman"/>
          <w:i/>
          <w:iCs/>
          <w:sz w:val="22"/>
          <w:szCs w:val="22"/>
        </w:rPr>
        <w:t xml:space="preserve"> </w:t>
      </w:r>
      <w:r w:rsidRPr="00EB5E7F">
        <w:rPr>
          <w:rFonts w:ascii="Times New Roman" w:eastAsia="Calibri" w:hAnsi="Times New Roman" w:cs="Times New Roman"/>
          <w:i/>
          <w:iCs/>
          <w:sz w:val="22"/>
          <w:szCs w:val="22"/>
        </w:rPr>
        <w:br/>
        <w:t>Correlación entre las condiciones de vida y educativas en los CMA en proceso de formalización y las políticas de desarrollo sostenible en la minería peruana.</w:t>
      </w:r>
      <w:bookmarkEnd w:id="21"/>
    </w:p>
    <w:tbl>
      <w:tblPr>
        <w:tblW w:w="8133"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788"/>
        <w:gridCol w:w="1614"/>
        <w:gridCol w:w="2127"/>
        <w:gridCol w:w="1470"/>
      </w:tblGrid>
      <w:tr w:rsidR="00EB5E7F" w:rsidRPr="00EB5E7F" w14:paraId="430C002F" w14:textId="77777777" w:rsidTr="00E62D63">
        <w:trPr>
          <w:cantSplit/>
        </w:trPr>
        <w:tc>
          <w:tcPr>
            <w:tcW w:w="4536" w:type="dxa"/>
            <w:gridSpan w:val="3"/>
            <w:tcBorders>
              <w:top w:val="nil"/>
              <w:left w:val="nil"/>
              <w:bottom w:val="single" w:sz="8" w:space="0" w:color="152935"/>
              <w:right w:val="nil"/>
            </w:tcBorders>
            <w:shd w:val="clear" w:color="auto" w:fill="auto"/>
            <w:vAlign w:val="bottom"/>
          </w:tcPr>
          <w:p w14:paraId="7E59831E"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2127" w:type="dxa"/>
            <w:tcBorders>
              <w:top w:val="nil"/>
              <w:left w:val="nil"/>
              <w:bottom w:val="single" w:sz="8" w:space="0" w:color="152935"/>
              <w:right w:val="single" w:sz="8" w:space="0" w:color="E0E0E0"/>
            </w:tcBorders>
            <w:shd w:val="clear" w:color="auto" w:fill="auto"/>
            <w:vAlign w:val="bottom"/>
          </w:tcPr>
          <w:p w14:paraId="4B080910"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Times New Roman" w:hAnsi="Times New Roman" w:cs="Times New Roman"/>
                <w:bCs/>
                <w:kern w:val="24"/>
                <w:sz w:val="24"/>
                <w:szCs w:val="24"/>
                <w:lang w:eastAsia="es-PE"/>
              </w:rPr>
              <w:t>Condiciones de vida y educativas en los CMA en proceso de formalización</w:t>
            </w:r>
          </w:p>
        </w:tc>
        <w:tc>
          <w:tcPr>
            <w:tcW w:w="1470" w:type="dxa"/>
            <w:tcBorders>
              <w:top w:val="nil"/>
              <w:left w:val="single" w:sz="8" w:space="0" w:color="E0E0E0"/>
              <w:bottom w:val="single" w:sz="8" w:space="0" w:color="152935"/>
              <w:right w:val="nil"/>
            </w:tcBorders>
            <w:shd w:val="clear" w:color="auto" w:fill="auto"/>
            <w:vAlign w:val="bottom"/>
          </w:tcPr>
          <w:p w14:paraId="0E508BB3"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Políticas de desarrollo sostenible</w:t>
            </w:r>
          </w:p>
        </w:tc>
      </w:tr>
      <w:tr w:rsidR="00EB5E7F" w:rsidRPr="00EB5E7F" w14:paraId="01BC16E2" w14:textId="77777777" w:rsidTr="00E62D63">
        <w:trPr>
          <w:cantSplit/>
        </w:trPr>
        <w:tc>
          <w:tcPr>
            <w:tcW w:w="1134" w:type="dxa"/>
            <w:vMerge w:val="restart"/>
            <w:tcBorders>
              <w:top w:val="single" w:sz="8" w:space="0" w:color="152935"/>
              <w:left w:val="nil"/>
              <w:bottom w:val="single" w:sz="8" w:space="0" w:color="152935"/>
              <w:right w:val="nil"/>
            </w:tcBorders>
            <w:shd w:val="clear" w:color="auto" w:fill="auto"/>
          </w:tcPr>
          <w:p w14:paraId="3E6FE0B8"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Rho de Spearman</w:t>
            </w:r>
          </w:p>
        </w:tc>
        <w:tc>
          <w:tcPr>
            <w:tcW w:w="1788" w:type="dxa"/>
            <w:vMerge w:val="restart"/>
            <w:tcBorders>
              <w:top w:val="single" w:sz="8" w:space="0" w:color="152935"/>
              <w:left w:val="nil"/>
              <w:bottom w:val="nil"/>
              <w:right w:val="nil"/>
            </w:tcBorders>
            <w:shd w:val="clear" w:color="auto" w:fill="auto"/>
          </w:tcPr>
          <w:p w14:paraId="650CBDEC"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Times New Roman" w:hAnsi="Times New Roman" w:cs="Times New Roman"/>
                <w:bCs/>
                <w:kern w:val="24"/>
                <w:sz w:val="24"/>
                <w:szCs w:val="24"/>
                <w:lang w:eastAsia="es-PE"/>
              </w:rPr>
              <w:t>Condiciones de vida y educativas en los CMA en proceso de formalización</w:t>
            </w:r>
          </w:p>
        </w:tc>
        <w:tc>
          <w:tcPr>
            <w:tcW w:w="1614" w:type="dxa"/>
            <w:tcBorders>
              <w:top w:val="single" w:sz="8" w:space="0" w:color="152935"/>
              <w:left w:val="nil"/>
              <w:bottom w:val="single" w:sz="8" w:space="0" w:color="AEAEAE"/>
              <w:right w:val="nil"/>
            </w:tcBorders>
            <w:shd w:val="clear" w:color="auto" w:fill="auto"/>
            <w:vAlign w:val="center"/>
          </w:tcPr>
          <w:p w14:paraId="34DEE0B9"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Coeficiente de correlación</w:t>
            </w:r>
          </w:p>
        </w:tc>
        <w:tc>
          <w:tcPr>
            <w:tcW w:w="2127" w:type="dxa"/>
            <w:tcBorders>
              <w:top w:val="single" w:sz="8" w:space="0" w:color="152935"/>
              <w:left w:val="nil"/>
              <w:bottom w:val="single" w:sz="8" w:space="0" w:color="AEAEAE"/>
              <w:right w:val="single" w:sz="8" w:space="0" w:color="E0E0E0"/>
            </w:tcBorders>
            <w:shd w:val="clear" w:color="auto" w:fill="auto"/>
            <w:vAlign w:val="center"/>
          </w:tcPr>
          <w:p w14:paraId="655FF8D0"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1,000</w:t>
            </w:r>
          </w:p>
        </w:tc>
        <w:tc>
          <w:tcPr>
            <w:tcW w:w="1470" w:type="dxa"/>
            <w:tcBorders>
              <w:top w:val="single" w:sz="8" w:space="0" w:color="152935"/>
              <w:left w:val="single" w:sz="8" w:space="0" w:color="E0E0E0"/>
              <w:bottom w:val="single" w:sz="8" w:space="0" w:color="AEAEAE"/>
              <w:right w:val="nil"/>
            </w:tcBorders>
            <w:shd w:val="clear" w:color="auto" w:fill="auto"/>
            <w:vAlign w:val="center"/>
          </w:tcPr>
          <w:p w14:paraId="2DD93B13"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,698</w:t>
            </w:r>
            <w:r w:rsidRPr="00EB5E7F">
              <w:rPr>
                <w:rFonts w:ascii="Times New Roman" w:eastAsia="Calibri" w:hAnsi="Times New Roman" w:cs="Times New Roman"/>
                <w:sz w:val="24"/>
                <w:szCs w:val="24"/>
                <w:vertAlign w:val="superscript"/>
              </w:rPr>
              <w:t>**</w:t>
            </w:r>
          </w:p>
        </w:tc>
      </w:tr>
      <w:tr w:rsidR="00EB5E7F" w:rsidRPr="00EB5E7F" w14:paraId="60160BA7" w14:textId="77777777" w:rsidTr="00E62D63">
        <w:trPr>
          <w:cantSplit/>
        </w:trPr>
        <w:tc>
          <w:tcPr>
            <w:tcW w:w="1134" w:type="dxa"/>
            <w:vMerge/>
            <w:tcBorders>
              <w:top w:val="single" w:sz="8" w:space="0" w:color="152935"/>
              <w:left w:val="nil"/>
              <w:bottom w:val="single" w:sz="8" w:space="0" w:color="152935"/>
              <w:right w:val="nil"/>
            </w:tcBorders>
            <w:shd w:val="clear" w:color="auto" w:fill="auto"/>
          </w:tcPr>
          <w:p w14:paraId="27C67A73"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788" w:type="dxa"/>
            <w:vMerge/>
            <w:tcBorders>
              <w:top w:val="single" w:sz="8" w:space="0" w:color="152935"/>
              <w:left w:val="nil"/>
              <w:bottom w:val="nil"/>
              <w:right w:val="nil"/>
            </w:tcBorders>
            <w:shd w:val="clear" w:color="auto" w:fill="auto"/>
          </w:tcPr>
          <w:p w14:paraId="045456EA"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14" w:type="dxa"/>
            <w:tcBorders>
              <w:top w:val="single" w:sz="8" w:space="0" w:color="AEAEAE"/>
              <w:left w:val="nil"/>
              <w:bottom w:val="single" w:sz="8" w:space="0" w:color="AEAEAE"/>
              <w:right w:val="nil"/>
            </w:tcBorders>
            <w:shd w:val="clear" w:color="auto" w:fill="auto"/>
            <w:vAlign w:val="center"/>
          </w:tcPr>
          <w:p w14:paraId="3296FDEA"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Sig. (bilateral)</w:t>
            </w:r>
          </w:p>
        </w:tc>
        <w:tc>
          <w:tcPr>
            <w:tcW w:w="2127" w:type="dxa"/>
            <w:tcBorders>
              <w:top w:val="single" w:sz="8" w:space="0" w:color="AEAEAE"/>
              <w:left w:val="nil"/>
              <w:bottom w:val="single" w:sz="8" w:space="0" w:color="AEAEAE"/>
              <w:right w:val="single" w:sz="8" w:space="0" w:color="E0E0E0"/>
            </w:tcBorders>
            <w:shd w:val="clear" w:color="auto" w:fill="auto"/>
            <w:vAlign w:val="center"/>
          </w:tcPr>
          <w:p w14:paraId="6597C89B"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w:t>
            </w:r>
          </w:p>
        </w:tc>
        <w:tc>
          <w:tcPr>
            <w:tcW w:w="1470" w:type="dxa"/>
            <w:tcBorders>
              <w:top w:val="single" w:sz="8" w:space="0" w:color="AEAEAE"/>
              <w:left w:val="single" w:sz="8" w:space="0" w:color="E0E0E0"/>
              <w:bottom w:val="single" w:sz="8" w:space="0" w:color="AEAEAE"/>
              <w:right w:val="nil"/>
            </w:tcBorders>
            <w:shd w:val="clear" w:color="auto" w:fill="auto"/>
            <w:vAlign w:val="center"/>
          </w:tcPr>
          <w:p w14:paraId="0AF7D0E8"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,002</w:t>
            </w:r>
          </w:p>
        </w:tc>
      </w:tr>
      <w:tr w:rsidR="00EB5E7F" w:rsidRPr="00EB5E7F" w14:paraId="1448723A" w14:textId="77777777" w:rsidTr="00E62D63">
        <w:trPr>
          <w:cantSplit/>
        </w:trPr>
        <w:tc>
          <w:tcPr>
            <w:tcW w:w="1134" w:type="dxa"/>
            <w:vMerge/>
            <w:tcBorders>
              <w:top w:val="single" w:sz="8" w:space="0" w:color="152935"/>
              <w:left w:val="nil"/>
              <w:bottom w:val="single" w:sz="8" w:space="0" w:color="152935"/>
              <w:right w:val="nil"/>
            </w:tcBorders>
            <w:shd w:val="clear" w:color="auto" w:fill="auto"/>
          </w:tcPr>
          <w:p w14:paraId="48C9E86C"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788" w:type="dxa"/>
            <w:vMerge/>
            <w:tcBorders>
              <w:top w:val="single" w:sz="8" w:space="0" w:color="152935"/>
              <w:left w:val="nil"/>
              <w:bottom w:val="nil"/>
              <w:right w:val="nil"/>
            </w:tcBorders>
            <w:shd w:val="clear" w:color="auto" w:fill="auto"/>
          </w:tcPr>
          <w:p w14:paraId="04E66083"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14" w:type="dxa"/>
            <w:tcBorders>
              <w:top w:val="single" w:sz="8" w:space="0" w:color="AEAEAE"/>
              <w:left w:val="nil"/>
              <w:bottom w:val="nil"/>
              <w:right w:val="nil"/>
            </w:tcBorders>
            <w:shd w:val="clear" w:color="auto" w:fill="auto"/>
            <w:vAlign w:val="center"/>
          </w:tcPr>
          <w:p w14:paraId="15113CF0"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N</w:t>
            </w:r>
          </w:p>
        </w:tc>
        <w:tc>
          <w:tcPr>
            <w:tcW w:w="2127" w:type="dxa"/>
            <w:tcBorders>
              <w:top w:val="single" w:sz="8" w:space="0" w:color="AEAEAE"/>
              <w:left w:val="nil"/>
              <w:bottom w:val="nil"/>
              <w:right w:val="single" w:sz="8" w:space="0" w:color="E0E0E0"/>
            </w:tcBorders>
            <w:shd w:val="clear" w:color="auto" w:fill="auto"/>
            <w:vAlign w:val="center"/>
          </w:tcPr>
          <w:p w14:paraId="515B7145"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c>
          <w:tcPr>
            <w:tcW w:w="1470" w:type="dxa"/>
            <w:tcBorders>
              <w:top w:val="single" w:sz="8" w:space="0" w:color="AEAEAE"/>
              <w:left w:val="single" w:sz="8" w:space="0" w:color="E0E0E0"/>
              <w:bottom w:val="nil"/>
              <w:right w:val="nil"/>
            </w:tcBorders>
            <w:shd w:val="clear" w:color="auto" w:fill="auto"/>
            <w:vAlign w:val="center"/>
          </w:tcPr>
          <w:p w14:paraId="3C1532BE"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r>
      <w:tr w:rsidR="00EB5E7F" w:rsidRPr="00EB5E7F" w14:paraId="41A933E5" w14:textId="77777777" w:rsidTr="00E62D63">
        <w:trPr>
          <w:cantSplit/>
        </w:trPr>
        <w:tc>
          <w:tcPr>
            <w:tcW w:w="1134" w:type="dxa"/>
            <w:vMerge/>
            <w:tcBorders>
              <w:top w:val="single" w:sz="8" w:space="0" w:color="152935"/>
              <w:left w:val="nil"/>
              <w:bottom w:val="single" w:sz="8" w:space="0" w:color="152935"/>
              <w:right w:val="nil"/>
            </w:tcBorders>
            <w:shd w:val="clear" w:color="auto" w:fill="auto"/>
          </w:tcPr>
          <w:p w14:paraId="3A52CE52"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788" w:type="dxa"/>
            <w:vMerge w:val="restart"/>
            <w:tcBorders>
              <w:top w:val="single" w:sz="8" w:space="0" w:color="AEAEAE"/>
              <w:left w:val="nil"/>
              <w:bottom w:val="single" w:sz="8" w:space="0" w:color="152935"/>
              <w:right w:val="nil"/>
            </w:tcBorders>
            <w:shd w:val="clear" w:color="auto" w:fill="auto"/>
          </w:tcPr>
          <w:p w14:paraId="15C202EC"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bCs/>
                <w:sz w:val="24"/>
                <w:szCs w:val="24"/>
              </w:rPr>
              <w:t>Políticas de desarrollo sostenible</w:t>
            </w:r>
          </w:p>
        </w:tc>
        <w:tc>
          <w:tcPr>
            <w:tcW w:w="1614" w:type="dxa"/>
            <w:tcBorders>
              <w:top w:val="single" w:sz="8" w:space="0" w:color="AEAEAE"/>
              <w:left w:val="nil"/>
              <w:bottom w:val="single" w:sz="8" w:space="0" w:color="AEAEAE"/>
              <w:right w:val="nil"/>
            </w:tcBorders>
            <w:shd w:val="clear" w:color="auto" w:fill="auto"/>
            <w:vAlign w:val="center"/>
          </w:tcPr>
          <w:p w14:paraId="4EF6D720"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Coeficiente de correlación</w:t>
            </w:r>
          </w:p>
        </w:tc>
        <w:tc>
          <w:tcPr>
            <w:tcW w:w="2127" w:type="dxa"/>
            <w:tcBorders>
              <w:top w:val="single" w:sz="8" w:space="0" w:color="AEAEAE"/>
              <w:left w:val="nil"/>
              <w:bottom w:val="single" w:sz="8" w:space="0" w:color="AEAEAE"/>
              <w:right w:val="single" w:sz="8" w:space="0" w:color="E0E0E0"/>
            </w:tcBorders>
            <w:shd w:val="clear" w:color="auto" w:fill="auto"/>
            <w:vAlign w:val="center"/>
          </w:tcPr>
          <w:p w14:paraId="6EA7B3B9"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 698</w:t>
            </w:r>
            <w:r w:rsidRPr="00EB5E7F">
              <w:rPr>
                <w:rFonts w:ascii="Times New Roman" w:eastAsia="Calibri" w:hAnsi="Times New Roman" w:cs="Times New Roman"/>
                <w:sz w:val="24"/>
                <w:szCs w:val="24"/>
                <w:vertAlign w:val="superscript"/>
              </w:rPr>
              <w:t>**</w:t>
            </w:r>
          </w:p>
        </w:tc>
        <w:tc>
          <w:tcPr>
            <w:tcW w:w="1470" w:type="dxa"/>
            <w:tcBorders>
              <w:top w:val="single" w:sz="8" w:space="0" w:color="AEAEAE"/>
              <w:left w:val="single" w:sz="8" w:space="0" w:color="E0E0E0"/>
              <w:bottom w:val="single" w:sz="8" w:space="0" w:color="AEAEAE"/>
              <w:right w:val="nil"/>
            </w:tcBorders>
            <w:shd w:val="clear" w:color="auto" w:fill="auto"/>
            <w:vAlign w:val="center"/>
          </w:tcPr>
          <w:p w14:paraId="32A6BCE4"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1,000</w:t>
            </w:r>
          </w:p>
        </w:tc>
      </w:tr>
      <w:tr w:rsidR="00EB5E7F" w:rsidRPr="00EB5E7F" w14:paraId="365B2997" w14:textId="77777777" w:rsidTr="00E62D63">
        <w:trPr>
          <w:cantSplit/>
        </w:trPr>
        <w:tc>
          <w:tcPr>
            <w:tcW w:w="1134" w:type="dxa"/>
            <w:vMerge/>
            <w:tcBorders>
              <w:top w:val="single" w:sz="8" w:space="0" w:color="152935"/>
              <w:left w:val="nil"/>
              <w:bottom w:val="single" w:sz="8" w:space="0" w:color="152935"/>
              <w:right w:val="nil"/>
            </w:tcBorders>
            <w:shd w:val="clear" w:color="auto" w:fill="auto"/>
          </w:tcPr>
          <w:p w14:paraId="1338B375"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788" w:type="dxa"/>
            <w:vMerge/>
            <w:tcBorders>
              <w:top w:val="single" w:sz="8" w:space="0" w:color="AEAEAE"/>
              <w:left w:val="nil"/>
              <w:bottom w:val="single" w:sz="8" w:space="0" w:color="152935"/>
              <w:right w:val="nil"/>
            </w:tcBorders>
            <w:shd w:val="clear" w:color="auto" w:fill="auto"/>
          </w:tcPr>
          <w:p w14:paraId="01494C20"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14" w:type="dxa"/>
            <w:tcBorders>
              <w:top w:val="single" w:sz="8" w:space="0" w:color="AEAEAE"/>
              <w:left w:val="nil"/>
              <w:bottom w:val="single" w:sz="8" w:space="0" w:color="AEAEAE"/>
              <w:right w:val="nil"/>
            </w:tcBorders>
            <w:shd w:val="clear" w:color="auto" w:fill="auto"/>
            <w:vAlign w:val="center"/>
          </w:tcPr>
          <w:p w14:paraId="73FA1913"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Sig. (bilateral)</w:t>
            </w:r>
          </w:p>
        </w:tc>
        <w:tc>
          <w:tcPr>
            <w:tcW w:w="2127" w:type="dxa"/>
            <w:tcBorders>
              <w:top w:val="single" w:sz="8" w:space="0" w:color="AEAEAE"/>
              <w:left w:val="nil"/>
              <w:bottom w:val="single" w:sz="8" w:space="0" w:color="AEAEAE"/>
              <w:right w:val="single" w:sz="8" w:space="0" w:color="E0E0E0"/>
            </w:tcBorders>
            <w:shd w:val="clear" w:color="auto" w:fill="auto"/>
            <w:vAlign w:val="center"/>
          </w:tcPr>
          <w:p w14:paraId="5CA0E99C"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,000</w:t>
            </w:r>
          </w:p>
        </w:tc>
        <w:tc>
          <w:tcPr>
            <w:tcW w:w="1470" w:type="dxa"/>
            <w:tcBorders>
              <w:top w:val="single" w:sz="8" w:space="0" w:color="AEAEAE"/>
              <w:left w:val="single" w:sz="8" w:space="0" w:color="E0E0E0"/>
              <w:bottom w:val="single" w:sz="8" w:space="0" w:color="AEAEAE"/>
              <w:right w:val="nil"/>
            </w:tcBorders>
            <w:shd w:val="clear" w:color="auto" w:fill="auto"/>
            <w:vAlign w:val="center"/>
          </w:tcPr>
          <w:p w14:paraId="242EE6DB"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w:t>
            </w:r>
          </w:p>
        </w:tc>
      </w:tr>
      <w:tr w:rsidR="00EB5E7F" w:rsidRPr="00EB5E7F" w14:paraId="4142229E" w14:textId="77777777" w:rsidTr="00E62D63">
        <w:trPr>
          <w:cantSplit/>
        </w:trPr>
        <w:tc>
          <w:tcPr>
            <w:tcW w:w="1134" w:type="dxa"/>
            <w:vMerge/>
            <w:tcBorders>
              <w:top w:val="single" w:sz="8" w:space="0" w:color="152935"/>
              <w:left w:val="nil"/>
              <w:bottom w:val="single" w:sz="8" w:space="0" w:color="152935"/>
              <w:right w:val="nil"/>
            </w:tcBorders>
            <w:shd w:val="clear" w:color="auto" w:fill="auto"/>
          </w:tcPr>
          <w:p w14:paraId="62574B03"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788" w:type="dxa"/>
            <w:vMerge/>
            <w:tcBorders>
              <w:top w:val="single" w:sz="8" w:space="0" w:color="AEAEAE"/>
              <w:left w:val="nil"/>
              <w:bottom w:val="single" w:sz="8" w:space="0" w:color="152935"/>
              <w:right w:val="nil"/>
            </w:tcBorders>
            <w:shd w:val="clear" w:color="auto" w:fill="auto"/>
          </w:tcPr>
          <w:p w14:paraId="49E5A508" w14:textId="77777777" w:rsidR="00EB5E7F" w:rsidRPr="00EB5E7F" w:rsidRDefault="00EB5E7F" w:rsidP="006D133C">
            <w:pPr>
              <w:autoSpaceDE w:val="0"/>
              <w:autoSpaceDN w:val="0"/>
              <w:adjustRightInd w:val="0"/>
              <w:spacing w:after="0" w:line="240" w:lineRule="auto"/>
              <w:rPr>
                <w:rFonts w:ascii="Times New Roman" w:eastAsia="Calibri" w:hAnsi="Times New Roman" w:cs="Times New Roman"/>
                <w:sz w:val="24"/>
                <w:szCs w:val="24"/>
              </w:rPr>
            </w:pPr>
          </w:p>
        </w:tc>
        <w:tc>
          <w:tcPr>
            <w:tcW w:w="1614" w:type="dxa"/>
            <w:tcBorders>
              <w:top w:val="single" w:sz="8" w:space="0" w:color="AEAEAE"/>
              <w:left w:val="nil"/>
              <w:bottom w:val="single" w:sz="8" w:space="0" w:color="152935"/>
              <w:right w:val="nil"/>
            </w:tcBorders>
            <w:shd w:val="clear" w:color="auto" w:fill="auto"/>
            <w:vAlign w:val="center"/>
          </w:tcPr>
          <w:p w14:paraId="09F8EFD0"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N</w:t>
            </w:r>
          </w:p>
        </w:tc>
        <w:tc>
          <w:tcPr>
            <w:tcW w:w="2127" w:type="dxa"/>
            <w:tcBorders>
              <w:top w:val="single" w:sz="8" w:space="0" w:color="AEAEAE"/>
              <w:left w:val="nil"/>
              <w:bottom w:val="single" w:sz="8" w:space="0" w:color="152935"/>
              <w:right w:val="single" w:sz="8" w:space="0" w:color="E0E0E0"/>
            </w:tcBorders>
            <w:shd w:val="clear" w:color="auto" w:fill="auto"/>
            <w:vAlign w:val="center"/>
          </w:tcPr>
          <w:p w14:paraId="2E14B21D"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c>
          <w:tcPr>
            <w:tcW w:w="1470" w:type="dxa"/>
            <w:tcBorders>
              <w:top w:val="single" w:sz="8" w:space="0" w:color="AEAEAE"/>
              <w:left w:val="single" w:sz="8" w:space="0" w:color="E0E0E0"/>
              <w:bottom w:val="single" w:sz="8" w:space="0" w:color="152935"/>
              <w:right w:val="nil"/>
            </w:tcBorders>
            <w:shd w:val="clear" w:color="auto" w:fill="auto"/>
            <w:vAlign w:val="center"/>
          </w:tcPr>
          <w:p w14:paraId="6B01DB2C" w14:textId="77777777" w:rsidR="00EB5E7F" w:rsidRPr="00EB5E7F" w:rsidRDefault="00EB5E7F" w:rsidP="006D133C">
            <w:pPr>
              <w:autoSpaceDE w:val="0"/>
              <w:autoSpaceDN w:val="0"/>
              <w:adjustRightInd w:val="0"/>
              <w:spacing w:after="0" w:line="240" w:lineRule="auto"/>
              <w:ind w:left="60" w:right="60"/>
              <w:rPr>
                <w:rFonts w:ascii="Times New Roman" w:eastAsia="Calibri" w:hAnsi="Times New Roman" w:cs="Times New Roman"/>
                <w:sz w:val="24"/>
                <w:szCs w:val="24"/>
              </w:rPr>
            </w:pPr>
            <w:r w:rsidRPr="00EB5E7F">
              <w:rPr>
                <w:rFonts w:ascii="Times New Roman" w:eastAsia="Calibri" w:hAnsi="Times New Roman" w:cs="Times New Roman"/>
                <w:sz w:val="24"/>
                <w:szCs w:val="24"/>
              </w:rPr>
              <w:t>100</w:t>
            </w:r>
          </w:p>
        </w:tc>
      </w:tr>
      <w:tr w:rsidR="00EB5E7F" w:rsidRPr="00EB5E7F" w14:paraId="4FC245F9" w14:textId="77777777" w:rsidTr="00E62D63">
        <w:trPr>
          <w:cantSplit/>
        </w:trPr>
        <w:tc>
          <w:tcPr>
            <w:tcW w:w="8133" w:type="dxa"/>
            <w:gridSpan w:val="5"/>
            <w:tcBorders>
              <w:top w:val="nil"/>
              <w:left w:val="nil"/>
              <w:bottom w:val="nil"/>
              <w:right w:val="nil"/>
            </w:tcBorders>
            <w:shd w:val="clear" w:color="auto" w:fill="auto"/>
          </w:tcPr>
          <w:p w14:paraId="2136D626" w14:textId="77777777" w:rsidR="00EB5E7F" w:rsidRPr="00EB5E7F" w:rsidRDefault="00EB5E7F" w:rsidP="00EB5E7F">
            <w:pPr>
              <w:autoSpaceDE w:val="0"/>
              <w:autoSpaceDN w:val="0"/>
              <w:adjustRightInd w:val="0"/>
              <w:spacing w:after="0" w:line="320" w:lineRule="atLeast"/>
              <w:ind w:left="60" w:right="60" w:firstLine="720"/>
              <w:jc w:val="both"/>
              <w:rPr>
                <w:rFonts w:ascii="Times New Roman" w:eastAsia="Calibri" w:hAnsi="Times New Roman" w:cs="Times New Roman"/>
                <w:sz w:val="24"/>
                <w:szCs w:val="24"/>
              </w:rPr>
            </w:pPr>
            <w:r w:rsidRPr="00EB5E7F">
              <w:rPr>
                <w:rFonts w:ascii="Times New Roman" w:eastAsia="Calibri" w:hAnsi="Times New Roman" w:cs="Times New Roman"/>
                <w:sz w:val="24"/>
                <w:szCs w:val="24"/>
              </w:rPr>
              <w:t>**. La correlación es significativa en el nivel 0,01 (bilateral).</w:t>
            </w:r>
          </w:p>
        </w:tc>
      </w:tr>
    </w:tbl>
    <w:p w14:paraId="6B0336F3" w14:textId="77777777" w:rsidR="00EB5E7F" w:rsidRPr="00EB5E7F" w:rsidRDefault="00EB5E7F" w:rsidP="00EB5E7F">
      <w:pPr>
        <w:spacing w:after="0" w:line="480" w:lineRule="auto"/>
        <w:ind w:left="709" w:firstLine="720"/>
        <w:jc w:val="both"/>
        <w:rPr>
          <w:rFonts w:ascii="Times New Roman" w:eastAsia="Calibri" w:hAnsi="Times New Roman" w:cs="Times New Roman"/>
          <w:bCs/>
          <w:sz w:val="24"/>
          <w:szCs w:val="24"/>
          <w:lang w:eastAsia="es-PE"/>
        </w:rPr>
      </w:pPr>
      <w:r w:rsidRPr="00EB5E7F">
        <w:rPr>
          <w:rFonts w:ascii="Times New Roman" w:eastAsia="Calibri" w:hAnsi="Times New Roman" w:cs="Times New Roman"/>
          <w:bCs/>
          <w:sz w:val="24"/>
          <w:szCs w:val="24"/>
          <w:lang w:eastAsia="es-PE"/>
        </w:rPr>
        <w:t>Fuente: Elaboración Propia</w:t>
      </w:r>
    </w:p>
    <w:p w14:paraId="755FEBC7" w14:textId="77777777" w:rsidR="00EB5E7F" w:rsidRPr="00EB5E7F" w:rsidRDefault="00EB5E7F" w:rsidP="00EB5E7F">
      <w:pPr>
        <w:spacing w:after="0" w:line="480" w:lineRule="auto"/>
        <w:ind w:left="707" w:firstLine="221"/>
        <w:contextualSpacing/>
        <w:jc w:val="both"/>
        <w:rPr>
          <w:rFonts w:ascii="Times New Roman" w:eastAsia="Calibri" w:hAnsi="Times New Roman" w:cs="Times New Roman"/>
          <w:bCs/>
          <w:sz w:val="24"/>
          <w:szCs w:val="24"/>
        </w:rPr>
      </w:pPr>
      <w:r w:rsidRPr="00EB5E7F">
        <w:rPr>
          <w:rFonts w:ascii="Times New Roman" w:eastAsia="Calibri" w:hAnsi="Times New Roman" w:cs="Times New Roman"/>
          <w:b/>
          <w:i/>
          <w:sz w:val="24"/>
          <w:szCs w:val="24"/>
        </w:rPr>
        <w:t>Interpretación:</w:t>
      </w:r>
      <w:r w:rsidRPr="00EB5E7F">
        <w:rPr>
          <w:rFonts w:ascii="Times New Roman" w:eastAsia="Calibri" w:hAnsi="Times New Roman" w:cs="Times New Roman"/>
          <w:i/>
          <w:sz w:val="24"/>
          <w:szCs w:val="24"/>
        </w:rPr>
        <w:t xml:space="preserve"> </w:t>
      </w:r>
      <w:r w:rsidRPr="00EB5E7F">
        <w:rPr>
          <w:rFonts w:ascii="Times New Roman" w:eastAsia="Calibri" w:hAnsi="Times New Roman" w:cs="Times New Roman"/>
          <w:sz w:val="24"/>
          <w:szCs w:val="24"/>
        </w:rPr>
        <w:t xml:space="preserve">Según los resultados obtenidos para comprobar la hipótesis especifica 3 se ha obtenido que el coeficiente de correlación Rho de Spearman, que tiene el valor de 0.698** y </w:t>
      </w:r>
      <w:proofErr w:type="gramStart"/>
      <w:r w:rsidRPr="00EB5E7F">
        <w:rPr>
          <w:rFonts w:ascii="Times New Roman" w:eastAsia="Calibri" w:hAnsi="Times New Roman" w:cs="Times New Roman"/>
          <w:sz w:val="24"/>
          <w:szCs w:val="24"/>
        </w:rPr>
        <w:t>el sigma</w:t>
      </w:r>
      <w:proofErr w:type="gramEnd"/>
      <w:r w:rsidRPr="00EB5E7F">
        <w:rPr>
          <w:rFonts w:ascii="Times New Roman" w:eastAsia="Calibri" w:hAnsi="Times New Roman" w:cs="Times New Roman"/>
          <w:sz w:val="24"/>
          <w:szCs w:val="24"/>
        </w:rPr>
        <w:t xml:space="preserve"> (bilateral) es de 0,002 el mismo que es menor al parámetro teórico de 0,05 lo que nos permite afirmar que la hipótesis alterna se cumple entonces: </w:t>
      </w:r>
      <w:r w:rsidRPr="00EB5E7F">
        <w:rPr>
          <w:rFonts w:ascii="Times New Roman" w:eastAsia="Calibri" w:hAnsi="Times New Roman" w:cs="Times New Roman"/>
          <w:bCs/>
          <w:sz w:val="24"/>
          <w:szCs w:val="24"/>
        </w:rPr>
        <w:t>Las condiciones de vida y educativas en los CMA en proceso de formalización se relacionan con las políticas de desarrollo sostenible en la minería peruana.</w:t>
      </w:r>
    </w:p>
    <w:p w14:paraId="4D60D4E8" w14:textId="2856528F" w:rsidR="00EA1DB8" w:rsidRDefault="00EA1DB8" w:rsidP="007F3901">
      <w:pPr>
        <w:spacing w:after="0" w:line="480" w:lineRule="auto"/>
        <w:jc w:val="both"/>
        <w:rPr>
          <w:rFonts w:ascii="Times New Roman" w:eastAsia="Times New Roman" w:hAnsi="Times New Roman" w:cs="Times New Roman"/>
          <w:sz w:val="24"/>
          <w:szCs w:val="24"/>
        </w:rPr>
      </w:pPr>
    </w:p>
    <w:p w14:paraId="12AA02A8" w14:textId="77777777" w:rsidR="006D133C" w:rsidRPr="00B3581D" w:rsidRDefault="006D133C" w:rsidP="007F3901">
      <w:pPr>
        <w:spacing w:after="0" w:line="480" w:lineRule="auto"/>
        <w:jc w:val="both"/>
        <w:rPr>
          <w:rFonts w:ascii="Times New Roman" w:eastAsia="Times New Roman" w:hAnsi="Times New Roman" w:cs="Times New Roman"/>
          <w:sz w:val="24"/>
          <w:szCs w:val="24"/>
        </w:rPr>
      </w:pPr>
    </w:p>
    <w:p w14:paraId="5F55425A" w14:textId="5069F8AE" w:rsidR="009F3072" w:rsidRPr="007F3901" w:rsidRDefault="009F3072" w:rsidP="006D3BC4">
      <w:pPr>
        <w:spacing w:after="0" w:line="360" w:lineRule="auto"/>
        <w:jc w:val="both"/>
        <w:rPr>
          <w:rFonts w:ascii="Times New Roman" w:hAnsi="Times New Roman" w:cs="Times New Roman"/>
          <w:b/>
          <w:sz w:val="24"/>
          <w:szCs w:val="24"/>
        </w:rPr>
      </w:pPr>
      <w:r w:rsidRPr="007F3901">
        <w:rPr>
          <w:rFonts w:ascii="Times New Roman" w:hAnsi="Times New Roman" w:cs="Times New Roman"/>
          <w:b/>
          <w:sz w:val="24"/>
          <w:szCs w:val="24"/>
        </w:rPr>
        <w:t>DISCUSIÓN</w:t>
      </w:r>
    </w:p>
    <w:p w14:paraId="7BE0C641" w14:textId="77777777" w:rsidR="00EB5E7F" w:rsidRPr="00EB5E7F" w:rsidRDefault="00EB5E7F" w:rsidP="00EB5E7F">
      <w:pPr>
        <w:spacing w:after="0" w:line="480" w:lineRule="auto"/>
        <w:ind w:firstLine="720"/>
        <w:jc w:val="both"/>
        <w:rPr>
          <w:rFonts w:ascii="Times New Roman" w:eastAsia="Calibri" w:hAnsi="Times New Roman" w:cs="Times New Roman"/>
          <w:sz w:val="24"/>
          <w:szCs w:val="22"/>
        </w:rPr>
      </w:pPr>
      <w:r w:rsidRPr="00EB5E7F">
        <w:rPr>
          <w:rFonts w:ascii="Times New Roman" w:eastAsia="Calibri" w:hAnsi="Times New Roman" w:cs="Times New Roman"/>
          <w:sz w:val="24"/>
          <w:szCs w:val="22"/>
        </w:rPr>
        <w:t>Arroyo (2017), en su tema sobre turismo y desarrollo sostenible en el distrito de Santa Rosa de Quives, llegó a la conclusión general de que debe haber más apoyo de la población en su conjunto para apoyar el crecimiento económico, social y cultural. en este distrito que con el bajo ratio demuestra que no podrá obtener su desarrollo sostenible si no se supera este bajo apoyo a los factores sostenibles, siendo el principal guía quizás el gobierno local y las autoridades que deberían poner más empeño en la formación y educando sobre los buenos logros que tiene la sustentabilidad para el desarrollo local, en la presente investigación se obtuvo como resultado que los principios del desarrollo sustentable como herramienta para el CMA se relacionan con las políticas de desarrollo sustentable en la minería peruana, ya que se obtuvo un coeficiente de Spearman Correlación Rho, que tiene un valor de 0,538** y sigma (bilateral) de 0,004.</w:t>
      </w:r>
    </w:p>
    <w:p w14:paraId="792296AF" w14:textId="77777777" w:rsidR="00EB5E7F" w:rsidRPr="00EB5E7F" w:rsidRDefault="00EB5E7F" w:rsidP="00EB5E7F">
      <w:pPr>
        <w:spacing w:after="0" w:line="480" w:lineRule="auto"/>
        <w:ind w:firstLine="720"/>
        <w:jc w:val="both"/>
        <w:rPr>
          <w:rFonts w:ascii="Times New Roman" w:eastAsia="Calibri" w:hAnsi="Times New Roman" w:cs="Times New Roman"/>
          <w:sz w:val="24"/>
          <w:szCs w:val="22"/>
        </w:rPr>
      </w:pPr>
      <w:r w:rsidRPr="00EB5E7F">
        <w:rPr>
          <w:rFonts w:ascii="Times New Roman" w:eastAsia="Calibri" w:hAnsi="Times New Roman" w:cs="Times New Roman"/>
          <w:sz w:val="24"/>
          <w:szCs w:val="22"/>
        </w:rPr>
        <w:t>Aparicio (2017) argumentó que la población como eje principal del desarrollo sostenible juega un papel importante en el logro de buenos resultados para el desarrollo sostenible en materia de turismo en este distrito y que en su momento el relevamiento y análisis de las principales investigaciones demostraron que es en el ascenso de escalas positivas para su desarrollo sostenible en materia turística, en la presente investigación se obtuvo como resultado que los principios del desarrollo sostenible como herramienta para el CMA se relacionan con las políticas de desarrollo sostenible en la minería peruana, ya que una correlación se obtuvo el coeficiente Rho de Spearman, que tiene un valor de 0.538** y una sigma (bilateral) de 0.004.</w:t>
      </w:r>
    </w:p>
    <w:p w14:paraId="3EFBA725" w14:textId="77777777" w:rsidR="00EB5E7F" w:rsidRPr="00EB5E7F" w:rsidRDefault="00EB5E7F" w:rsidP="00EB5E7F">
      <w:pPr>
        <w:spacing w:after="0" w:line="480" w:lineRule="auto"/>
        <w:ind w:firstLine="720"/>
        <w:jc w:val="both"/>
        <w:rPr>
          <w:rFonts w:ascii="Times New Roman" w:eastAsia="Calibri" w:hAnsi="Times New Roman" w:cs="Times New Roman"/>
          <w:sz w:val="24"/>
          <w:szCs w:val="22"/>
        </w:rPr>
      </w:pPr>
      <w:r w:rsidRPr="00EB5E7F">
        <w:rPr>
          <w:rFonts w:ascii="Times New Roman" w:eastAsia="Calibri" w:hAnsi="Times New Roman" w:cs="Times New Roman"/>
          <w:sz w:val="24"/>
          <w:szCs w:val="22"/>
        </w:rPr>
        <w:t>Montañez (2017), en su tema relacionado con las variables sobre desarrollo sostenible como principal variable y responsabilidad social en el municipio, determinó que ambas variables tienen una relación alta y significativa de acuerdo a los resultados estadísticos obtenidos, de esta forma concluimos- estableciendo la respuesta a la hipótesis general y demostrando que el grado de responsabilidad social que tiene el municipio de Yungay sobre el desarrollo sustentable es significativo, es decir, la importancia que se establece para los sistemas económicos, sociales y ambientales impuestos por el municipio genera una responsabilidad muy social positivo y de esta manera esto lleva a que a futuro se logre un desarrollo sustentable dentro del municipio en mención, en la presente investigación se obtuvo como resultado que se relacionan los principios del desarrollo sustentable como herramienta del CMA a las políticas de desarrollo sustentable en la minería peruana, tal como se obtuvo un coeficiente de correlación Rho de Spearman, que tiene un valor de 0,538** y un sigma (bilateral) de 0,004.</w:t>
      </w:r>
    </w:p>
    <w:p w14:paraId="6B8F860A" w14:textId="5B95C528" w:rsidR="007F3901" w:rsidRDefault="00EB5E7F" w:rsidP="00EB5E7F">
      <w:pPr>
        <w:spacing w:after="0" w:line="480" w:lineRule="auto"/>
        <w:ind w:firstLine="720"/>
        <w:jc w:val="both"/>
        <w:rPr>
          <w:rFonts w:ascii="Times New Roman" w:eastAsia="Calibri" w:hAnsi="Times New Roman" w:cs="Times New Roman"/>
          <w:sz w:val="24"/>
          <w:szCs w:val="22"/>
        </w:rPr>
      </w:pPr>
      <w:r w:rsidRPr="00EB5E7F">
        <w:rPr>
          <w:rFonts w:ascii="Times New Roman" w:eastAsia="Calibri" w:hAnsi="Times New Roman" w:cs="Times New Roman"/>
          <w:sz w:val="24"/>
          <w:szCs w:val="22"/>
        </w:rPr>
        <w:t>De la Serna (2017), en su informe titulado “20 años de políticas locales para el desarrollo sostenible en España” nos dice: apoyado y en todo su contexto desarrollado e investigado por la federación española de municipios y provincias, observatorio de la sostenibilidad en España que, encabezados por el alcalde de la provincia de Santander, describen como un problema que no se trata de hacer o no políticas de desarrollo sostenible, simplemente afirman que es su responsabilidad hacerlo, el compromiso de la federación española pasa por la puesta en marcha de un agenda de sostenibilidad local amplia e inclusiva, con medidas que van desde la igualdad, la inclusión y la cohesión social hasta el desarrollo urbano y la promoción de una economía verde, el objetivo principal de este informe fue recopilar y evaluar las políticas de desarrollo sostenible en los últimos 20 años en el país de España, elaborado conjuntamente por FEMP y OSE, instituciones españolas dedicadas a la difusión de la sostenibilidad que hacen un amplio estudio del accionar municipal en materia de sustentabilidad, en la presente investigación se obtuvo como resultado que los principios del desarrollo sustentable como herramienta para el CMA se relacionan con las políticas de desarrollo sustentable en la minería peruana, ya que se obtuvo un Coeficiente de correlación Rho de Spearman, que tiene un valor de 0,538** y un sigma (bilateral) de 0,004.</w:t>
      </w:r>
    </w:p>
    <w:p w14:paraId="017C4617" w14:textId="33B659FB" w:rsidR="00390347" w:rsidRPr="007F3901" w:rsidRDefault="00390347" w:rsidP="006D3BC4">
      <w:pPr>
        <w:spacing w:after="0" w:line="360" w:lineRule="auto"/>
        <w:jc w:val="both"/>
        <w:rPr>
          <w:rFonts w:ascii="Times New Roman" w:hAnsi="Times New Roman" w:cs="Times New Roman"/>
          <w:b/>
          <w:sz w:val="24"/>
          <w:szCs w:val="24"/>
        </w:rPr>
      </w:pPr>
      <w:r w:rsidRPr="007F3901">
        <w:rPr>
          <w:rFonts w:ascii="Times New Roman" w:hAnsi="Times New Roman" w:cs="Times New Roman"/>
          <w:b/>
          <w:sz w:val="24"/>
          <w:szCs w:val="24"/>
        </w:rPr>
        <w:t>CONCLUSIONES</w:t>
      </w:r>
    </w:p>
    <w:p w14:paraId="75A6C49A" w14:textId="77777777" w:rsidR="007F3901" w:rsidRPr="007F3901" w:rsidRDefault="007F3901" w:rsidP="007F3901">
      <w:pPr>
        <w:spacing w:after="0" w:line="480" w:lineRule="auto"/>
        <w:jc w:val="both"/>
        <w:rPr>
          <w:rFonts w:ascii="Times New Roman" w:hAnsi="Times New Roman" w:cs="Times New Roman"/>
          <w:b/>
          <w:sz w:val="24"/>
          <w:szCs w:val="24"/>
        </w:rPr>
      </w:pPr>
    </w:p>
    <w:p w14:paraId="54495A2E" w14:textId="5E7BF194" w:rsidR="00EB5E7F" w:rsidRPr="00EB5E7F" w:rsidRDefault="00EB5E7F" w:rsidP="00EB5E7F">
      <w:pPr>
        <w:pStyle w:val="Prrafodelista"/>
        <w:numPr>
          <w:ilvl w:val="0"/>
          <w:numId w:val="19"/>
        </w:numPr>
        <w:spacing w:after="0" w:line="480" w:lineRule="auto"/>
        <w:jc w:val="both"/>
        <w:rPr>
          <w:rFonts w:ascii="Times New Roman" w:eastAsia="Times New Roman" w:hAnsi="Times New Roman" w:cs="Times New Roman"/>
          <w:bCs/>
          <w:sz w:val="24"/>
          <w:szCs w:val="24"/>
          <w:lang w:eastAsia="es-PE"/>
        </w:rPr>
      </w:pPr>
      <w:r w:rsidRPr="00EB5E7F">
        <w:rPr>
          <w:rFonts w:ascii="Times New Roman" w:eastAsia="Times New Roman" w:hAnsi="Times New Roman" w:cs="Times New Roman"/>
          <w:bCs/>
          <w:sz w:val="24"/>
          <w:szCs w:val="24"/>
          <w:lang w:eastAsia="es-PE"/>
        </w:rPr>
        <w:t xml:space="preserve">Los principios del desarrollo sostenible como herramienta para las CMA se relacionan con las políticas de desarrollo sostenible en la minería peruana, ya que se obtuvo un coeficiente de correlación Rho de Spearman que tiene un valor de 0.538** y </w:t>
      </w:r>
      <w:proofErr w:type="gramStart"/>
      <w:r w:rsidRPr="00EB5E7F">
        <w:rPr>
          <w:rFonts w:ascii="Times New Roman" w:eastAsia="Times New Roman" w:hAnsi="Times New Roman" w:cs="Times New Roman"/>
          <w:bCs/>
          <w:sz w:val="24"/>
          <w:szCs w:val="24"/>
          <w:lang w:eastAsia="es-PE"/>
        </w:rPr>
        <w:t>el sigma</w:t>
      </w:r>
      <w:proofErr w:type="gramEnd"/>
      <w:r w:rsidRPr="00EB5E7F">
        <w:rPr>
          <w:rFonts w:ascii="Times New Roman" w:eastAsia="Times New Roman" w:hAnsi="Times New Roman" w:cs="Times New Roman"/>
          <w:bCs/>
          <w:sz w:val="24"/>
          <w:szCs w:val="24"/>
          <w:lang w:eastAsia="es-PE"/>
        </w:rPr>
        <w:t xml:space="preserve"> (bilateral) de 0.004.</w:t>
      </w:r>
    </w:p>
    <w:p w14:paraId="1D157174" w14:textId="123B09DC" w:rsidR="00EB5E7F" w:rsidRPr="00EB5E7F" w:rsidRDefault="00EB5E7F" w:rsidP="00EB5E7F">
      <w:pPr>
        <w:pStyle w:val="Prrafodelista"/>
        <w:numPr>
          <w:ilvl w:val="0"/>
          <w:numId w:val="19"/>
        </w:numPr>
        <w:spacing w:after="0" w:line="480" w:lineRule="auto"/>
        <w:jc w:val="both"/>
        <w:rPr>
          <w:rFonts w:ascii="Times New Roman" w:eastAsia="Times New Roman" w:hAnsi="Times New Roman" w:cs="Times New Roman"/>
          <w:bCs/>
          <w:sz w:val="24"/>
          <w:szCs w:val="24"/>
          <w:lang w:eastAsia="es-PE"/>
        </w:rPr>
      </w:pPr>
      <w:r w:rsidRPr="00EB5E7F">
        <w:rPr>
          <w:rFonts w:ascii="Times New Roman" w:eastAsia="Times New Roman" w:hAnsi="Times New Roman" w:cs="Times New Roman"/>
          <w:bCs/>
          <w:sz w:val="24"/>
          <w:szCs w:val="24"/>
          <w:lang w:eastAsia="es-PE"/>
        </w:rPr>
        <w:t xml:space="preserve">La normativa vigente relacionada con la minería peruana tiene relación con las políticas de desarrollo sostenible en la minería peruana, ya que se obtuvo un coeficiente de correlación Rho de Spearman, el cual tiene un valor de 0.438** y </w:t>
      </w:r>
      <w:proofErr w:type="gramStart"/>
      <w:r w:rsidRPr="00EB5E7F">
        <w:rPr>
          <w:rFonts w:ascii="Times New Roman" w:eastAsia="Times New Roman" w:hAnsi="Times New Roman" w:cs="Times New Roman"/>
          <w:bCs/>
          <w:sz w:val="24"/>
          <w:szCs w:val="24"/>
          <w:lang w:eastAsia="es-PE"/>
        </w:rPr>
        <w:t>un sigma</w:t>
      </w:r>
      <w:proofErr w:type="gramEnd"/>
      <w:r w:rsidRPr="00EB5E7F">
        <w:rPr>
          <w:rFonts w:ascii="Times New Roman" w:eastAsia="Times New Roman" w:hAnsi="Times New Roman" w:cs="Times New Roman"/>
          <w:bCs/>
          <w:sz w:val="24"/>
          <w:szCs w:val="24"/>
          <w:lang w:eastAsia="es-PE"/>
        </w:rPr>
        <w:t xml:space="preserve"> (bilateral) de 0.001.</w:t>
      </w:r>
    </w:p>
    <w:p w14:paraId="5AAE2157" w14:textId="28993F40" w:rsidR="00EB5E7F" w:rsidRPr="00EB5E7F" w:rsidRDefault="00EB5E7F" w:rsidP="00EB5E7F">
      <w:pPr>
        <w:pStyle w:val="Prrafodelista"/>
        <w:numPr>
          <w:ilvl w:val="0"/>
          <w:numId w:val="19"/>
        </w:numPr>
        <w:spacing w:after="0" w:line="480" w:lineRule="auto"/>
        <w:jc w:val="both"/>
        <w:rPr>
          <w:rFonts w:ascii="Times New Roman" w:eastAsia="Times New Roman" w:hAnsi="Times New Roman" w:cs="Times New Roman"/>
          <w:bCs/>
          <w:sz w:val="24"/>
          <w:szCs w:val="24"/>
          <w:lang w:eastAsia="es-PE"/>
        </w:rPr>
      </w:pPr>
      <w:r w:rsidRPr="00EB5E7F">
        <w:rPr>
          <w:rFonts w:ascii="Times New Roman" w:eastAsia="Times New Roman" w:hAnsi="Times New Roman" w:cs="Times New Roman"/>
          <w:bCs/>
          <w:sz w:val="24"/>
          <w:szCs w:val="24"/>
          <w:lang w:eastAsia="es-PE"/>
        </w:rPr>
        <w:t xml:space="preserve">Las Unidades Mineras en Producción clasificadas por Estratos Mineros están relacionadas con las políticas de desarrollo sostenible en la minería peruana, pues se obtuvo un coeficiente de correlación Rho de Spearman, el cual tiene un valor de 0.284** y </w:t>
      </w:r>
      <w:proofErr w:type="gramStart"/>
      <w:r w:rsidRPr="00EB5E7F">
        <w:rPr>
          <w:rFonts w:ascii="Times New Roman" w:eastAsia="Times New Roman" w:hAnsi="Times New Roman" w:cs="Times New Roman"/>
          <w:bCs/>
          <w:sz w:val="24"/>
          <w:szCs w:val="24"/>
          <w:lang w:eastAsia="es-PE"/>
        </w:rPr>
        <w:t>un sigma</w:t>
      </w:r>
      <w:proofErr w:type="gramEnd"/>
      <w:r w:rsidRPr="00EB5E7F">
        <w:rPr>
          <w:rFonts w:ascii="Times New Roman" w:eastAsia="Times New Roman" w:hAnsi="Times New Roman" w:cs="Times New Roman"/>
          <w:bCs/>
          <w:sz w:val="24"/>
          <w:szCs w:val="24"/>
          <w:lang w:eastAsia="es-PE"/>
        </w:rPr>
        <w:t xml:space="preserve"> (bilateral) de 0.014.</w:t>
      </w:r>
    </w:p>
    <w:p w14:paraId="6541FB44" w14:textId="2208D59D" w:rsidR="00EB5E7F" w:rsidRPr="00EB5E7F" w:rsidRDefault="00EB5E7F" w:rsidP="00EB5E7F">
      <w:pPr>
        <w:pStyle w:val="Prrafodelista"/>
        <w:numPr>
          <w:ilvl w:val="0"/>
          <w:numId w:val="19"/>
        </w:numPr>
        <w:spacing w:after="0" w:line="480" w:lineRule="auto"/>
        <w:jc w:val="both"/>
        <w:rPr>
          <w:rFonts w:ascii="Times New Roman" w:eastAsia="Times New Roman" w:hAnsi="Times New Roman" w:cs="Times New Roman"/>
          <w:bCs/>
          <w:sz w:val="24"/>
          <w:szCs w:val="24"/>
          <w:lang w:eastAsia="es-PE"/>
        </w:rPr>
      </w:pPr>
      <w:r w:rsidRPr="00EB5E7F">
        <w:rPr>
          <w:rFonts w:ascii="Times New Roman" w:eastAsia="Times New Roman" w:hAnsi="Times New Roman" w:cs="Times New Roman"/>
          <w:bCs/>
          <w:sz w:val="24"/>
          <w:szCs w:val="24"/>
          <w:lang w:eastAsia="es-PE"/>
        </w:rPr>
        <w:t>Los impactos económicos, ambientales y sociales de la minería peruana están relacionados</w:t>
      </w:r>
      <w:r w:rsidRPr="00EB5E7F">
        <w:rPr>
          <w:rFonts w:ascii="Times New Roman" w:eastAsia="Times New Roman" w:hAnsi="Times New Roman" w:cs="Times New Roman"/>
          <w:bCs/>
          <w:sz w:val="24"/>
          <w:szCs w:val="24"/>
          <w:lang w:eastAsia="es-PE"/>
        </w:rPr>
        <w:t xml:space="preserve"> </w:t>
      </w:r>
      <w:r w:rsidRPr="00EB5E7F">
        <w:rPr>
          <w:rFonts w:ascii="Times New Roman" w:eastAsia="Times New Roman" w:hAnsi="Times New Roman" w:cs="Times New Roman"/>
          <w:bCs/>
          <w:sz w:val="24"/>
          <w:szCs w:val="24"/>
          <w:lang w:eastAsia="es-PE"/>
        </w:rPr>
        <w:t xml:space="preserve">con las políticas de desarrollo sostenible en la minería peruana, ya que se obtuvo un coeficiente de correlación Rho de Spearman que tiene un valor de 0.661** y </w:t>
      </w:r>
      <w:proofErr w:type="gramStart"/>
      <w:r>
        <w:rPr>
          <w:rFonts w:ascii="Times New Roman" w:eastAsia="Times New Roman" w:hAnsi="Times New Roman" w:cs="Times New Roman"/>
          <w:bCs/>
          <w:sz w:val="24"/>
          <w:szCs w:val="24"/>
          <w:lang w:eastAsia="es-PE"/>
        </w:rPr>
        <w:t>el</w:t>
      </w:r>
      <w:r w:rsidRPr="00EB5E7F">
        <w:rPr>
          <w:rFonts w:ascii="Times New Roman" w:eastAsia="Times New Roman" w:hAnsi="Times New Roman" w:cs="Times New Roman"/>
          <w:bCs/>
          <w:sz w:val="24"/>
          <w:szCs w:val="24"/>
          <w:lang w:eastAsia="es-PE"/>
        </w:rPr>
        <w:t xml:space="preserve"> sigma</w:t>
      </w:r>
      <w:proofErr w:type="gramEnd"/>
      <w:r w:rsidRPr="00EB5E7F">
        <w:rPr>
          <w:rFonts w:ascii="Times New Roman" w:eastAsia="Times New Roman" w:hAnsi="Times New Roman" w:cs="Times New Roman"/>
          <w:bCs/>
          <w:sz w:val="24"/>
          <w:szCs w:val="24"/>
          <w:lang w:eastAsia="es-PE"/>
        </w:rPr>
        <w:t xml:space="preserve"> (bilateral) de 0.000.</w:t>
      </w:r>
    </w:p>
    <w:p w14:paraId="2F5158CA" w14:textId="5733D88E" w:rsidR="00EB5E7F" w:rsidRPr="00EB5E7F" w:rsidRDefault="00EB5E7F" w:rsidP="00EB5E7F">
      <w:pPr>
        <w:pStyle w:val="Prrafodelista"/>
        <w:numPr>
          <w:ilvl w:val="0"/>
          <w:numId w:val="20"/>
        </w:numPr>
        <w:spacing w:after="0" w:line="480" w:lineRule="auto"/>
        <w:jc w:val="both"/>
        <w:rPr>
          <w:rFonts w:ascii="Times New Roman" w:eastAsia="Times New Roman" w:hAnsi="Times New Roman" w:cs="Times New Roman"/>
          <w:bCs/>
          <w:sz w:val="24"/>
          <w:szCs w:val="24"/>
          <w:lang w:eastAsia="es-PE"/>
        </w:rPr>
      </w:pPr>
      <w:r w:rsidRPr="00EB5E7F">
        <w:rPr>
          <w:rFonts w:ascii="Times New Roman" w:eastAsia="Times New Roman" w:hAnsi="Times New Roman" w:cs="Times New Roman"/>
          <w:bCs/>
          <w:sz w:val="24"/>
          <w:szCs w:val="24"/>
          <w:lang w:eastAsia="es-PE"/>
        </w:rPr>
        <w:t xml:space="preserve">Los Centros de Minería Artesanal (CMA) en proceso de formalización minera no tienen relación con las políticas de desarrollo sostenible en la minería peruana, ya que se obtuvo un coeficiente de correlación Rho de Spearman que tiene un valor de 0.732** y </w:t>
      </w:r>
      <w:proofErr w:type="gramStart"/>
      <w:r w:rsidRPr="00EB5E7F">
        <w:rPr>
          <w:rFonts w:ascii="Times New Roman" w:eastAsia="Times New Roman" w:hAnsi="Times New Roman" w:cs="Times New Roman"/>
          <w:bCs/>
          <w:sz w:val="24"/>
          <w:szCs w:val="24"/>
          <w:lang w:eastAsia="es-PE"/>
        </w:rPr>
        <w:t>el sigma</w:t>
      </w:r>
      <w:proofErr w:type="gramEnd"/>
      <w:r w:rsidRPr="00EB5E7F">
        <w:rPr>
          <w:rFonts w:ascii="Times New Roman" w:eastAsia="Times New Roman" w:hAnsi="Times New Roman" w:cs="Times New Roman"/>
          <w:bCs/>
          <w:sz w:val="24"/>
          <w:szCs w:val="24"/>
          <w:lang w:eastAsia="es-PE"/>
        </w:rPr>
        <w:t xml:space="preserve"> (bilateral) de 0.000.</w:t>
      </w:r>
    </w:p>
    <w:p w14:paraId="2978893C" w14:textId="00F343D1" w:rsidR="00991628" w:rsidRPr="00EB5E7F" w:rsidRDefault="00EB5E7F" w:rsidP="00EB5E7F">
      <w:pPr>
        <w:pStyle w:val="Prrafodelista"/>
        <w:numPr>
          <w:ilvl w:val="0"/>
          <w:numId w:val="20"/>
        </w:numPr>
        <w:spacing w:after="0" w:line="360" w:lineRule="auto"/>
        <w:ind w:right="-285"/>
        <w:jc w:val="both"/>
        <w:rPr>
          <w:rFonts w:ascii="Times New Roman" w:hAnsi="Times New Roman" w:cs="Times New Roman"/>
          <w:sz w:val="24"/>
          <w:szCs w:val="24"/>
        </w:rPr>
      </w:pPr>
      <w:r w:rsidRPr="00EB5E7F">
        <w:rPr>
          <w:rFonts w:ascii="Times New Roman" w:eastAsia="Times New Roman" w:hAnsi="Times New Roman" w:cs="Times New Roman"/>
          <w:bCs/>
          <w:sz w:val="24"/>
          <w:szCs w:val="24"/>
          <w:lang w:eastAsia="es-PE"/>
        </w:rPr>
        <w:t xml:space="preserve">Las condiciones de vida y educación en las CMA en proceso de formalización tienen relación con las políticas de desarrollo sostenible en la minería peruana, pues se obtuvo el coeficiente de correlación Spearman Rho que tiene un valor de 0.698** y </w:t>
      </w:r>
      <w:proofErr w:type="gramStart"/>
      <w:r w:rsidRPr="00EB5E7F">
        <w:rPr>
          <w:rFonts w:ascii="Times New Roman" w:eastAsia="Times New Roman" w:hAnsi="Times New Roman" w:cs="Times New Roman"/>
          <w:bCs/>
          <w:sz w:val="24"/>
          <w:szCs w:val="24"/>
          <w:lang w:eastAsia="es-PE"/>
        </w:rPr>
        <w:t>el sigma</w:t>
      </w:r>
      <w:proofErr w:type="gramEnd"/>
      <w:r w:rsidRPr="00EB5E7F">
        <w:rPr>
          <w:rFonts w:ascii="Times New Roman" w:eastAsia="Times New Roman" w:hAnsi="Times New Roman" w:cs="Times New Roman"/>
          <w:bCs/>
          <w:sz w:val="24"/>
          <w:szCs w:val="24"/>
          <w:lang w:eastAsia="es-PE"/>
        </w:rPr>
        <w:t xml:space="preserve"> (bilateral) de 0.002</w:t>
      </w:r>
    </w:p>
    <w:p w14:paraId="3F37823F" w14:textId="4F8C8DCB" w:rsidR="007F3901" w:rsidRPr="007F3901" w:rsidRDefault="007F3901" w:rsidP="00D74E7A">
      <w:pPr>
        <w:spacing w:after="0" w:line="360" w:lineRule="auto"/>
        <w:ind w:right="-285"/>
        <w:jc w:val="both"/>
        <w:rPr>
          <w:rFonts w:ascii="Times New Roman" w:hAnsi="Times New Roman" w:cs="Times New Roman"/>
          <w:sz w:val="24"/>
          <w:szCs w:val="24"/>
        </w:rPr>
      </w:pPr>
    </w:p>
    <w:p w14:paraId="5E287598" w14:textId="513421AF" w:rsidR="007F3901" w:rsidRPr="007F3901" w:rsidRDefault="007F3901" w:rsidP="00D74E7A">
      <w:pPr>
        <w:spacing w:after="0" w:line="360" w:lineRule="auto"/>
        <w:ind w:right="-285"/>
        <w:jc w:val="both"/>
        <w:rPr>
          <w:rFonts w:ascii="Times New Roman" w:hAnsi="Times New Roman" w:cs="Times New Roman"/>
          <w:sz w:val="24"/>
          <w:szCs w:val="24"/>
        </w:rPr>
      </w:pPr>
    </w:p>
    <w:p w14:paraId="220D2735" w14:textId="2DE3FF48" w:rsidR="009F3072" w:rsidRPr="007F3901" w:rsidRDefault="009F3072" w:rsidP="006D3BC4">
      <w:pPr>
        <w:spacing w:after="0" w:line="360" w:lineRule="auto"/>
        <w:jc w:val="both"/>
        <w:rPr>
          <w:rFonts w:ascii="Times New Roman" w:hAnsi="Times New Roman" w:cs="Times New Roman"/>
          <w:b/>
          <w:sz w:val="24"/>
          <w:szCs w:val="24"/>
        </w:rPr>
      </w:pPr>
      <w:r w:rsidRPr="007F3901">
        <w:rPr>
          <w:rFonts w:ascii="Times New Roman" w:hAnsi="Times New Roman" w:cs="Times New Roman"/>
          <w:b/>
          <w:sz w:val="24"/>
          <w:szCs w:val="24"/>
        </w:rPr>
        <w:t xml:space="preserve">REFERENCIAS </w:t>
      </w:r>
    </w:p>
    <w:p w14:paraId="12AFCF79" w14:textId="19D051A5" w:rsidR="00D31C45" w:rsidRPr="007F3901" w:rsidRDefault="00D31C45" w:rsidP="006D3BC4">
      <w:pPr>
        <w:pStyle w:val="Prrafodelista"/>
        <w:tabs>
          <w:tab w:val="left" w:pos="426"/>
        </w:tabs>
        <w:spacing w:after="0" w:line="360" w:lineRule="auto"/>
        <w:ind w:left="218"/>
        <w:jc w:val="both"/>
        <w:rPr>
          <w:rFonts w:ascii="Times New Roman" w:hAnsi="Times New Roman" w:cs="Times New Roman"/>
          <w:sz w:val="24"/>
          <w:szCs w:val="24"/>
        </w:rPr>
      </w:pPr>
    </w:p>
    <w:p w14:paraId="53AD2715" w14:textId="77777777" w:rsidR="00C60B51" w:rsidRPr="00C60B51" w:rsidRDefault="00C60B51" w:rsidP="00C60B51">
      <w:pPr>
        <w:spacing w:after="0" w:line="480" w:lineRule="auto"/>
        <w:ind w:left="709" w:hanging="709"/>
        <w:jc w:val="both"/>
        <w:rPr>
          <w:rFonts w:ascii="Times New Roman" w:eastAsia="Calibri" w:hAnsi="Times New Roman" w:cs="Times New Roman"/>
          <w:iCs/>
          <w:sz w:val="24"/>
          <w:szCs w:val="24"/>
        </w:rPr>
      </w:pPr>
      <w:r w:rsidRPr="00C60B51">
        <w:rPr>
          <w:rFonts w:ascii="Times New Roman" w:eastAsia="Calibri" w:hAnsi="Times New Roman" w:cs="Times New Roman"/>
          <w:iCs/>
          <w:sz w:val="24"/>
          <w:szCs w:val="24"/>
        </w:rPr>
        <w:t xml:space="preserve">Aparicio N. (2017). Análisis del desarrollo sostenible del turismo en el distrito de Miraflores en el año 2017, universidad césar vallejo, lima-Perú </w:t>
      </w:r>
      <w:r w:rsidRPr="00C60B51">
        <w:rPr>
          <w:rFonts w:ascii="Times New Roman" w:eastAsia="Calibri" w:hAnsi="Times New Roman" w:cs="Times New Roman"/>
          <w:iCs/>
          <w:sz w:val="24"/>
          <w:szCs w:val="24"/>
        </w:rPr>
        <w:tab/>
      </w:r>
    </w:p>
    <w:p w14:paraId="34C13748" w14:textId="41D1C9C5" w:rsidR="00C60B51" w:rsidRPr="00C60B51" w:rsidRDefault="00C60B51" w:rsidP="00C60B51">
      <w:pPr>
        <w:spacing w:after="0" w:line="480" w:lineRule="auto"/>
        <w:ind w:left="709" w:hanging="1"/>
        <w:jc w:val="both"/>
        <w:rPr>
          <w:rFonts w:ascii="Times New Roman" w:eastAsia="Calibri" w:hAnsi="Times New Roman" w:cs="Times New Roman"/>
          <w:iCs/>
          <w:sz w:val="24"/>
          <w:szCs w:val="24"/>
        </w:rPr>
      </w:pPr>
      <w:hyperlink r:id="rId8" w:history="1">
        <w:r w:rsidRPr="00C60B51">
          <w:rPr>
            <w:rStyle w:val="Hipervnculo"/>
            <w:rFonts w:ascii="Times New Roman" w:eastAsia="Calibri" w:hAnsi="Times New Roman" w:cs="Times New Roman"/>
            <w:iCs/>
            <w:sz w:val="24"/>
            <w:szCs w:val="24"/>
          </w:rPr>
          <w:t>https://repositorio.ucv.edu.pe/bitstream/handle/20.500.12692/6921/Aparicio-ON.pdf?sequence=1&amp;isAllowed=y</w:t>
        </w:r>
      </w:hyperlink>
    </w:p>
    <w:p w14:paraId="73729926" w14:textId="77777777" w:rsidR="00C60B51" w:rsidRPr="00C60B51" w:rsidRDefault="00C60B51" w:rsidP="00C60B51">
      <w:pPr>
        <w:spacing w:after="0" w:line="480" w:lineRule="auto"/>
        <w:ind w:left="709" w:hanging="709"/>
        <w:jc w:val="both"/>
        <w:rPr>
          <w:rFonts w:ascii="Times New Roman" w:eastAsia="Calibri" w:hAnsi="Times New Roman" w:cs="Times New Roman"/>
          <w:iCs/>
          <w:sz w:val="24"/>
          <w:szCs w:val="24"/>
        </w:rPr>
      </w:pPr>
      <w:r w:rsidRPr="00C60B51">
        <w:rPr>
          <w:rFonts w:ascii="Times New Roman" w:eastAsia="Calibri" w:hAnsi="Times New Roman" w:cs="Times New Roman"/>
          <w:iCs/>
          <w:sz w:val="24"/>
          <w:szCs w:val="24"/>
        </w:rPr>
        <w:t xml:space="preserve">Arroyo C. (2017) turismo y desarrollo sostenible en el distrito de santa rosa de Quives, universidad César Vallejo, Lima-Perú, tesis recuperada de: </w:t>
      </w:r>
    </w:p>
    <w:p w14:paraId="0E6A3866" w14:textId="5ABF3840" w:rsidR="00C60B51" w:rsidRPr="00C60B51" w:rsidRDefault="00C60B51" w:rsidP="00C60B51">
      <w:pPr>
        <w:spacing w:after="0" w:line="480" w:lineRule="auto"/>
        <w:ind w:left="709"/>
        <w:jc w:val="both"/>
        <w:rPr>
          <w:rFonts w:ascii="Times New Roman" w:eastAsia="Calibri" w:hAnsi="Times New Roman" w:cs="Times New Roman"/>
          <w:iCs/>
          <w:sz w:val="24"/>
          <w:szCs w:val="24"/>
        </w:rPr>
      </w:pPr>
      <w:hyperlink r:id="rId9" w:history="1">
        <w:r w:rsidRPr="00C60B51">
          <w:rPr>
            <w:rStyle w:val="Hipervnculo"/>
            <w:rFonts w:ascii="Times New Roman" w:eastAsia="Calibri" w:hAnsi="Times New Roman" w:cs="Times New Roman"/>
            <w:iCs/>
            <w:sz w:val="24"/>
            <w:szCs w:val="24"/>
          </w:rPr>
          <w:t>https://repositorio.ucv.edu.pe/browse?type=subject&amp;value=Turismo%20-%20Desarrollo%20%E2%80%93%20Sostenible%20%E2%80%93%20Quives</w:t>
        </w:r>
      </w:hyperlink>
    </w:p>
    <w:p w14:paraId="1C02629F" w14:textId="77777777" w:rsidR="00C60B51" w:rsidRPr="00C60B51" w:rsidRDefault="00C60B51" w:rsidP="00C60B51">
      <w:pPr>
        <w:spacing w:after="0" w:line="480" w:lineRule="auto"/>
        <w:ind w:left="709" w:hanging="709"/>
        <w:jc w:val="both"/>
        <w:rPr>
          <w:rFonts w:ascii="Times New Roman" w:eastAsia="Calibri" w:hAnsi="Times New Roman" w:cs="Times New Roman"/>
          <w:iCs/>
          <w:sz w:val="24"/>
          <w:szCs w:val="24"/>
        </w:rPr>
      </w:pPr>
      <w:r w:rsidRPr="00C60B51">
        <w:rPr>
          <w:rFonts w:ascii="Times New Roman" w:eastAsia="Calibri" w:hAnsi="Times New Roman" w:cs="Times New Roman"/>
          <w:iCs/>
          <w:sz w:val="24"/>
          <w:szCs w:val="24"/>
        </w:rPr>
        <w:t xml:space="preserve">Bazán M. (2013), La regionalización en el Perú: un análisis de la reforma del Gobierno Regional de Junín 2008-2009 desde un enfoque de desarrollo sostenible, Pontifica universidad católica del Perú, lima tesis recuperado de </w:t>
      </w:r>
      <w:hyperlink r:id="rId10" w:history="1">
        <w:r w:rsidRPr="00C60B51">
          <w:rPr>
            <w:rFonts w:ascii="Times New Roman" w:eastAsia="Calibri" w:hAnsi="Times New Roman" w:cs="Times New Roman"/>
            <w:iCs/>
            <w:color w:val="0563C1"/>
            <w:sz w:val="24"/>
            <w:szCs w:val="24"/>
            <w:u w:val="single"/>
          </w:rPr>
          <w:t>https://tesis.pucp.edu.pe/repositorio/handle/20.500.12404/5192</w:t>
        </w:r>
      </w:hyperlink>
    </w:p>
    <w:p w14:paraId="228E1EC4" w14:textId="77777777" w:rsidR="00C60B51" w:rsidRPr="00C60B51" w:rsidRDefault="00C60B51" w:rsidP="00C60B51">
      <w:pPr>
        <w:spacing w:after="0" w:line="480" w:lineRule="auto"/>
        <w:ind w:left="709" w:hanging="709"/>
        <w:jc w:val="both"/>
        <w:rPr>
          <w:rFonts w:ascii="Times New Roman" w:eastAsia="Calibri" w:hAnsi="Times New Roman" w:cs="Times New Roman"/>
          <w:iCs/>
          <w:sz w:val="24"/>
          <w:szCs w:val="24"/>
        </w:rPr>
      </w:pPr>
      <w:r w:rsidRPr="00C60B51">
        <w:rPr>
          <w:rFonts w:ascii="Times New Roman" w:eastAsia="Calibri" w:hAnsi="Times New Roman" w:cs="Times New Roman"/>
          <w:iCs/>
          <w:sz w:val="24"/>
          <w:szCs w:val="24"/>
        </w:rPr>
        <w:t xml:space="preserve">Cardona G. (2015), Diseño de una estrategia de desarrollo sostenible para el municipio de Aquismón, San Luis Potosí 2015-2025, </w:t>
      </w:r>
      <w:proofErr w:type="gramStart"/>
      <w:r w:rsidRPr="00C60B51">
        <w:rPr>
          <w:rFonts w:ascii="Times New Roman" w:eastAsia="Calibri" w:hAnsi="Times New Roman" w:cs="Times New Roman"/>
          <w:iCs/>
          <w:sz w:val="24"/>
          <w:szCs w:val="24"/>
        </w:rPr>
        <w:t>tesis recuperado</w:t>
      </w:r>
      <w:proofErr w:type="gramEnd"/>
      <w:r w:rsidRPr="00C60B51">
        <w:rPr>
          <w:rFonts w:ascii="Times New Roman" w:eastAsia="Calibri" w:hAnsi="Times New Roman" w:cs="Times New Roman"/>
          <w:iCs/>
          <w:sz w:val="24"/>
          <w:szCs w:val="24"/>
        </w:rPr>
        <w:t xml:space="preserve"> de </w:t>
      </w:r>
      <w:hyperlink r:id="rId11" w:history="1">
        <w:r w:rsidRPr="00C60B51">
          <w:rPr>
            <w:rFonts w:ascii="Times New Roman" w:eastAsia="Calibri" w:hAnsi="Times New Roman" w:cs="Times New Roman"/>
            <w:iCs/>
            <w:color w:val="0563C1"/>
            <w:sz w:val="24"/>
            <w:szCs w:val="24"/>
            <w:u w:val="single"/>
          </w:rPr>
          <w:t>https://tesis.ipn.mx/bitstream/handle/123456789/13675/TESIS%20FINAL_1.pdf</w:t>
        </w:r>
      </w:hyperlink>
    </w:p>
    <w:p w14:paraId="413F171A" w14:textId="77777777" w:rsidR="00C60B51" w:rsidRPr="00C60B51" w:rsidRDefault="00C60B51" w:rsidP="00C60B51">
      <w:pPr>
        <w:spacing w:after="0" w:line="480" w:lineRule="auto"/>
        <w:ind w:left="709" w:hanging="709"/>
        <w:jc w:val="both"/>
        <w:rPr>
          <w:rFonts w:ascii="Times New Roman" w:eastAsia="Calibri" w:hAnsi="Times New Roman" w:cs="Times New Roman"/>
          <w:iCs/>
          <w:sz w:val="24"/>
          <w:szCs w:val="24"/>
        </w:rPr>
      </w:pPr>
      <w:r w:rsidRPr="00C60B51">
        <w:rPr>
          <w:rFonts w:ascii="Times New Roman" w:eastAsia="Calibri" w:hAnsi="Times New Roman" w:cs="Times New Roman"/>
          <w:iCs/>
          <w:sz w:val="24"/>
          <w:szCs w:val="24"/>
        </w:rPr>
        <w:t>De la serna I. (2017), 20 años de políticas locales de desarrollo sostenible en España Informe</w:t>
      </w:r>
      <w:r w:rsidRPr="00C60B51">
        <w:rPr>
          <w:rFonts w:ascii="Times New Roman" w:eastAsia="Calibri" w:hAnsi="Times New Roman" w:cs="Times New Roman"/>
          <w:iCs/>
          <w:sz w:val="24"/>
          <w:szCs w:val="24"/>
        </w:rPr>
        <w:tab/>
        <w:t>recuperado</w:t>
      </w:r>
      <w:r w:rsidRPr="00C60B51">
        <w:rPr>
          <w:rFonts w:ascii="Times New Roman" w:eastAsia="Calibri" w:hAnsi="Times New Roman" w:cs="Times New Roman"/>
          <w:iCs/>
          <w:sz w:val="24"/>
          <w:szCs w:val="24"/>
        </w:rPr>
        <w:tab/>
        <w:t xml:space="preserve">de: </w:t>
      </w:r>
      <w:hyperlink r:id="rId12" w:history="1">
        <w:r w:rsidRPr="00C60B51">
          <w:rPr>
            <w:rFonts w:ascii="Times New Roman" w:eastAsia="Calibri" w:hAnsi="Times New Roman" w:cs="Times New Roman"/>
            <w:iCs/>
            <w:color w:val="0563C1"/>
            <w:sz w:val="24"/>
            <w:szCs w:val="24"/>
            <w:u w:val="single"/>
          </w:rPr>
          <w:t>http://www.upv.es/contenidos/CAMUNISO/info/U0669358.pdf</w:t>
        </w:r>
      </w:hyperlink>
    </w:p>
    <w:p w14:paraId="1A439CB3" w14:textId="77777777" w:rsidR="00C60B51" w:rsidRPr="00C60B51" w:rsidRDefault="00C60B51" w:rsidP="00C60B51">
      <w:pPr>
        <w:spacing w:after="0" w:line="480" w:lineRule="auto"/>
        <w:ind w:left="709" w:hanging="709"/>
        <w:jc w:val="both"/>
        <w:rPr>
          <w:rFonts w:ascii="Times New Roman" w:eastAsia="Calibri" w:hAnsi="Times New Roman" w:cs="Times New Roman"/>
          <w:iCs/>
          <w:sz w:val="24"/>
          <w:szCs w:val="24"/>
        </w:rPr>
      </w:pPr>
      <w:r w:rsidRPr="00C60B51">
        <w:rPr>
          <w:rFonts w:ascii="Times New Roman" w:eastAsia="Calibri" w:hAnsi="Times New Roman" w:cs="Times New Roman"/>
          <w:iCs/>
          <w:sz w:val="24"/>
          <w:szCs w:val="24"/>
        </w:rPr>
        <w:t xml:space="preserve">Neves D. (2014). modelo de desarrollo local sostenible: el caso del municipio de sao Joao Del Rei (Brasil), Universidad politécnica de Catalunya, España. Recuperado de: </w:t>
      </w:r>
      <w:hyperlink r:id="rId13" w:history="1">
        <w:r w:rsidRPr="00C60B51">
          <w:rPr>
            <w:rFonts w:ascii="Times New Roman" w:eastAsia="Calibri" w:hAnsi="Times New Roman" w:cs="Times New Roman"/>
            <w:iCs/>
            <w:color w:val="0563C1"/>
            <w:sz w:val="24"/>
            <w:szCs w:val="24"/>
            <w:u w:val="single"/>
          </w:rPr>
          <w:t>http://hdl.handle.net/2117/95333</w:t>
        </w:r>
      </w:hyperlink>
    </w:p>
    <w:p w14:paraId="2EDF4550" w14:textId="77777777" w:rsidR="00C60B51" w:rsidRPr="00C60B51" w:rsidRDefault="00C60B51" w:rsidP="00C60B51">
      <w:pPr>
        <w:spacing w:after="0" w:line="480" w:lineRule="auto"/>
        <w:ind w:left="709" w:hanging="709"/>
        <w:jc w:val="both"/>
        <w:rPr>
          <w:rFonts w:ascii="Times New Roman" w:eastAsia="Calibri" w:hAnsi="Times New Roman" w:cs="Times New Roman"/>
          <w:iCs/>
          <w:sz w:val="24"/>
          <w:szCs w:val="24"/>
        </w:rPr>
      </w:pPr>
      <w:r w:rsidRPr="00C60B51">
        <w:rPr>
          <w:rFonts w:ascii="Times New Roman" w:eastAsia="Calibri" w:hAnsi="Times New Roman" w:cs="Times New Roman"/>
          <w:iCs/>
          <w:sz w:val="24"/>
          <w:szCs w:val="24"/>
        </w:rPr>
        <w:t xml:space="preserve">Organismo de las naciones unidas (2012) desarrollo sostenible, extraído de revista naciones unidas son su mundo </w:t>
      </w:r>
      <w:hyperlink r:id="rId14" w:history="1">
        <w:r w:rsidRPr="00C60B51">
          <w:rPr>
            <w:rFonts w:ascii="Times New Roman" w:eastAsia="Calibri" w:hAnsi="Times New Roman" w:cs="Times New Roman"/>
            <w:iCs/>
            <w:color w:val="0563C1"/>
            <w:sz w:val="24"/>
            <w:szCs w:val="24"/>
            <w:u w:val="single"/>
          </w:rPr>
          <w:t>https://www.un.org/es/ga/president/65/issues/sustdev.shtml</w:t>
        </w:r>
      </w:hyperlink>
    </w:p>
    <w:p w14:paraId="4672D013" w14:textId="77777777" w:rsidR="00C60B51" w:rsidRPr="00C60B51" w:rsidRDefault="00C60B51" w:rsidP="00C60B51">
      <w:pPr>
        <w:spacing w:after="0" w:line="480" w:lineRule="auto"/>
        <w:ind w:left="709" w:hanging="709"/>
        <w:jc w:val="both"/>
        <w:rPr>
          <w:rFonts w:ascii="Times New Roman" w:eastAsia="Calibri" w:hAnsi="Times New Roman" w:cs="Times New Roman"/>
          <w:iCs/>
          <w:sz w:val="24"/>
          <w:szCs w:val="24"/>
        </w:rPr>
      </w:pPr>
      <w:r w:rsidRPr="00C60B51">
        <w:rPr>
          <w:rFonts w:ascii="Times New Roman" w:eastAsia="Calibri" w:hAnsi="Times New Roman" w:cs="Times New Roman"/>
          <w:iCs/>
          <w:sz w:val="24"/>
          <w:szCs w:val="24"/>
        </w:rPr>
        <w:t xml:space="preserve">Picón L. (2011) Aplicando el enfoque ambiental hacia una educación para el desarrollo sostenible, extraído del </w:t>
      </w:r>
      <w:proofErr w:type="spellStart"/>
      <w:r w:rsidRPr="00C60B51">
        <w:rPr>
          <w:rFonts w:ascii="Times New Roman" w:eastAsia="Calibri" w:hAnsi="Times New Roman" w:cs="Times New Roman"/>
          <w:iCs/>
          <w:sz w:val="24"/>
          <w:szCs w:val="24"/>
        </w:rPr>
        <w:t>Ier</w:t>
      </w:r>
      <w:proofErr w:type="spellEnd"/>
      <w:r w:rsidRPr="00C60B51">
        <w:rPr>
          <w:rFonts w:ascii="Times New Roman" w:eastAsia="Calibri" w:hAnsi="Times New Roman" w:cs="Times New Roman"/>
          <w:iCs/>
          <w:sz w:val="24"/>
          <w:szCs w:val="24"/>
        </w:rPr>
        <w:t xml:space="preserve"> Congreso Regional de Educación Ambiental Huánuco, recuperado de: </w:t>
      </w:r>
      <w:hyperlink r:id="rId15" w:history="1">
        <w:r w:rsidRPr="00C60B51">
          <w:rPr>
            <w:rFonts w:ascii="Times New Roman" w:eastAsia="Calibri" w:hAnsi="Times New Roman" w:cs="Times New Roman"/>
            <w:iCs/>
            <w:color w:val="0563C1"/>
            <w:sz w:val="24"/>
            <w:szCs w:val="24"/>
            <w:u w:val="single"/>
          </w:rPr>
          <w:t>https://bibliotecauvirtual.files.wordpress.com/2019/06/libro_educ_amb_peru.pdf</w:t>
        </w:r>
      </w:hyperlink>
    </w:p>
    <w:p w14:paraId="3DA543B7" w14:textId="77777777" w:rsidR="00C60B51" w:rsidRPr="00C60B51" w:rsidRDefault="00C60B51" w:rsidP="00C60B51">
      <w:pPr>
        <w:spacing w:after="0" w:line="480" w:lineRule="auto"/>
        <w:ind w:left="709" w:hanging="709"/>
        <w:jc w:val="both"/>
        <w:rPr>
          <w:rFonts w:ascii="Times New Roman" w:eastAsia="Calibri" w:hAnsi="Times New Roman" w:cs="Times New Roman"/>
          <w:iCs/>
          <w:sz w:val="24"/>
          <w:szCs w:val="24"/>
        </w:rPr>
      </w:pPr>
      <w:r w:rsidRPr="00C60B51">
        <w:rPr>
          <w:rFonts w:ascii="Times New Roman" w:eastAsia="Calibri" w:hAnsi="Times New Roman" w:cs="Times New Roman"/>
          <w:iCs/>
          <w:sz w:val="24"/>
          <w:szCs w:val="24"/>
        </w:rPr>
        <w:t>Unchupaico, A. (2011) Modelo de gestión sostenible de los residuos sólidos urbanos para el Distrito de El Tambo, Huancayo, 2011. [Tesis de maestría, Universidad Nacional del centro del Perú]. Repositorio Institucional UNCP.</w:t>
      </w:r>
    </w:p>
    <w:p w14:paraId="0823A305" w14:textId="78A31FD9" w:rsidR="00C60B51" w:rsidRPr="00C60B51" w:rsidRDefault="00C60B51" w:rsidP="00C60B51">
      <w:pPr>
        <w:spacing w:after="0" w:line="480" w:lineRule="auto"/>
        <w:ind w:left="709" w:hanging="1"/>
        <w:jc w:val="both"/>
        <w:rPr>
          <w:rFonts w:ascii="Times New Roman" w:eastAsia="Calibri" w:hAnsi="Times New Roman" w:cs="Times New Roman"/>
          <w:iCs/>
          <w:sz w:val="24"/>
          <w:szCs w:val="24"/>
        </w:rPr>
      </w:pPr>
      <w:hyperlink r:id="rId16" w:history="1">
        <w:r w:rsidRPr="00C60B51">
          <w:rPr>
            <w:rStyle w:val="Hipervnculo"/>
            <w:rFonts w:ascii="Times New Roman" w:eastAsia="Calibri" w:hAnsi="Times New Roman" w:cs="Times New Roman"/>
            <w:iCs/>
            <w:sz w:val="24"/>
            <w:szCs w:val="24"/>
          </w:rPr>
          <w:t>https://repositorio.uncp.edu.pe/</w:t>
        </w:r>
        <w:r w:rsidRPr="00C60B51">
          <w:rPr>
            <w:rStyle w:val="Hipervnculo"/>
            <w:rFonts w:ascii="Times New Roman" w:eastAsia="Calibri" w:hAnsi="Times New Roman" w:cs="Times New Roman"/>
            <w:iCs/>
            <w:sz w:val="24"/>
            <w:szCs w:val="24"/>
          </w:rPr>
          <w:t>b</w:t>
        </w:r>
        <w:r w:rsidRPr="00C60B51">
          <w:rPr>
            <w:rStyle w:val="Hipervnculo"/>
            <w:rFonts w:ascii="Times New Roman" w:eastAsia="Calibri" w:hAnsi="Times New Roman" w:cs="Times New Roman"/>
            <w:iCs/>
            <w:sz w:val="24"/>
            <w:szCs w:val="24"/>
          </w:rPr>
          <w:t>itstream/handle/20.500.12894/1328/Tesis-Angel-Unchupaico.pdf?sequence=1&amp;isAllowed=y</w:t>
        </w:r>
      </w:hyperlink>
    </w:p>
    <w:p w14:paraId="36CE7D09" w14:textId="4E6F9762" w:rsidR="00B3581D" w:rsidRPr="00C60B51" w:rsidRDefault="00B3581D" w:rsidP="00B3581D">
      <w:pPr>
        <w:tabs>
          <w:tab w:val="left" w:pos="1170"/>
        </w:tabs>
        <w:rPr>
          <w:rFonts w:ascii="Times New Roman" w:eastAsia="Calibri" w:hAnsi="Times New Roman" w:cs="Times New Roman"/>
          <w:sz w:val="24"/>
          <w:szCs w:val="24"/>
        </w:rPr>
      </w:pPr>
    </w:p>
    <w:sectPr w:rsidR="00B3581D" w:rsidRPr="00C60B51" w:rsidSect="009F3072">
      <w:footerReference w:type="default" r:id="rId17"/>
      <w:type w:val="continuous"/>
      <w:pgSz w:w="11906" w:h="16838"/>
      <w:pgMar w:top="1417"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2C9E" w14:textId="77777777" w:rsidR="00C63422" w:rsidRDefault="00C63422" w:rsidP="001275D8">
      <w:pPr>
        <w:spacing w:after="0" w:line="240" w:lineRule="auto"/>
      </w:pPr>
      <w:r>
        <w:separator/>
      </w:r>
    </w:p>
  </w:endnote>
  <w:endnote w:type="continuationSeparator" w:id="0">
    <w:p w14:paraId="18D5466D" w14:textId="77777777" w:rsidR="00C63422" w:rsidRDefault="00C63422" w:rsidP="0012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130938"/>
      <w:docPartObj>
        <w:docPartGallery w:val="Page Numbers (Bottom of Page)"/>
        <w:docPartUnique/>
      </w:docPartObj>
    </w:sdtPr>
    <w:sdtEndPr/>
    <w:sdtContent>
      <w:p w14:paraId="022F540B" w14:textId="77777777" w:rsidR="00BD1812" w:rsidRDefault="00BD1812">
        <w:pPr>
          <w:pStyle w:val="Piedepgina"/>
          <w:jc w:val="center"/>
        </w:pPr>
        <w:r>
          <w:fldChar w:fldCharType="begin"/>
        </w:r>
        <w:r>
          <w:instrText>PAGE   \* MERGEFORMAT</w:instrText>
        </w:r>
        <w:r>
          <w:fldChar w:fldCharType="separate"/>
        </w:r>
        <w:r w:rsidR="002F2D9F" w:rsidRPr="002F2D9F">
          <w:rPr>
            <w:noProof/>
            <w:lang w:val="es-ES"/>
          </w:rPr>
          <w:t>17</w:t>
        </w:r>
        <w:r>
          <w:fldChar w:fldCharType="end"/>
        </w:r>
      </w:p>
    </w:sdtContent>
  </w:sdt>
  <w:p w14:paraId="6CB7CD49" w14:textId="77777777" w:rsidR="00BD1812" w:rsidRDefault="00BD18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F46A" w14:textId="77777777" w:rsidR="00C63422" w:rsidRDefault="00C63422" w:rsidP="001275D8">
      <w:pPr>
        <w:spacing w:after="0" w:line="240" w:lineRule="auto"/>
      </w:pPr>
      <w:r>
        <w:separator/>
      </w:r>
    </w:p>
  </w:footnote>
  <w:footnote w:type="continuationSeparator" w:id="0">
    <w:p w14:paraId="21AF6D91" w14:textId="77777777" w:rsidR="00C63422" w:rsidRDefault="00C63422" w:rsidP="00127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F35"/>
    <w:multiLevelType w:val="hybridMultilevel"/>
    <w:tmpl w:val="2F74CAB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7026C3F"/>
    <w:multiLevelType w:val="hybridMultilevel"/>
    <w:tmpl w:val="0640244A"/>
    <w:lvl w:ilvl="0" w:tplc="280A0001">
      <w:start w:val="1"/>
      <w:numFmt w:val="bullet"/>
      <w:lvlText w:val=""/>
      <w:lvlJc w:val="left"/>
      <w:pPr>
        <w:ind w:left="720" w:hanging="360"/>
      </w:pPr>
      <w:rPr>
        <w:rFonts w:ascii="Symbol" w:hAnsi="Symbol" w:cs="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B2C1EAA"/>
    <w:multiLevelType w:val="hybridMultilevel"/>
    <w:tmpl w:val="2A904CEE"/>
    <w:lvl w:ilvl="0" w:tplc="5C3AA20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226A6991"/>
    <w:multiLevelType w:val="hybridMultilevel"/>
    <w:tmpl w:val="B42C8AA0"/>
    <w:lvl w:ilvl="0" w:tplc="250EF408">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88367F1"/>
    <w:multiLevelType w:val="hybridMultilevel"/>
    <w:tmpl w:val="FA4AB51E"/>
    <w:lvl w:ilvl="0" w:tplc="7ACC6D2E">
      <w:start w:val="1"/>
      <w:numFmt w:val="lowerLetter"/>
      <w:lvlText w:val="%1."/>
      <w:lvlJc w:val="left"/>
      <w:pPr>
        <w:ind w:left="720" w:hanging="360"/>
      </w:pPr>
      <w:rPr>
        <w:rFonts w:hint="default"/>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0BE206D"/>
    <w:multiLevelType w:val="hybridMultilevel"/>
    <w:tmpl w:val="59A450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4CB5636"/>
    <w:multiLevelType w:val="hybridMultilevel"/>
    <w:tmpl w:val="5A3C1BB4"/>
    <w:lvl w:ilvl="0" w:tplc="A6FCB3AC">
      <w:start w:val="1"/>
      <w:numFmt w:val="decimal"/>
      <w:lvlText w:val="%1."/>
      <w:lvlJc w:val="left"/>
      <w:pPr>
        <w:ind w:left="218" w:hanging="360"/>
      </w:pPr>
      <w:rPr>
        <w:rFonts w:hint="default"/>
      </w:rPr>
    </w:lvl>
    <w:lvl w:ilvl="1" w:tplc="280A0019">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7" w15:restartNumberingAfterBreak="0">
    <w:nsid w:val="45B43CC2"/>
    <w:multiLevelType w:val="hybridMultilevel"/>
    <w:tmpl w:val="09C4F400"/>
    <w:lvl w:ilvl="0" w:tplc="1B54B036">
      <w:start w:val="6"/>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5B50495"/>
    <w:multiLevelType w:val="hybridMultilevel"/>
    <w:tmpl w:val="ADB2198E"/>
    <w:lvl w:ilvl="0" w:tplc="75E45184">
      <w:start w:val="1"/>
      <w:numFmt w:val="lowerLetter"/>
      <w:lvlText w:val="%1."/>
      <w:lvlJc w:val="left"/>
      <w:pPr>
        <w:ind w:left="3763" w:hanging="360"/>
      </w:pPr>
      <w:rPr>
        <w:rFonts w:hint="default"/>
      </w:rPr>
    </w:lvl>
    <w:lvl w:ilvl="1" w:tplc="0C0A0019">
      <w:start w:val="1"/>
      <w:numFmt w:val="lowerLetter"/>
      <w:lvlText w:val="%2."/>
      <w:lvlJc w:val="left"/>
      <w:pPr>
        <w:ind w:left="5178" w:hanging="360"/>
      </w:pPr>
    </w:lvl>
    <w:lvl w:ilvl="2" w:tplc="0C0A001B">
      <w:start w:val="1"/>
      <w:numFmt w:val="lowerRoman"/>
      <w:lvlText w:val="%3."/>
      <w:lvlJc w:val="right"/>
      <w:pPr>
        <w:ind w:left="5898" w:hanging="180"/>
      </w:pPr>
    </w:lvl>
    <w:lvl w:ilvl="3" w:tplc="0C0A000F">
      <w:start w:val="1"/>
      <w:numFmt w:val="decimal"/>
      <w:lvlText w:val="%4."/>
      <w:lvlJc w:val="left"/>
      <w:pPr>
        <w:ind w:left="6618" w:hanging="360"/>
      </w:pPr>
    </w:lvl>
    <w:lvl w:ilvl="4" w:tplc="0C0A0019">
      <w:start w:val="1"/>
      <w:numFmt w:val="lowerLetter"/>
      <w:lvlText w:val="%5."/>
      <w:lvlJc w:val="left"/>
      <w:pPr>
        <w:ind w:left="7338" w:hanging="360"/>
      </w:pPr>
    </w:lvl>
    <w:lvl w:ilvl="5" w:tplc="0C0A001B">
      <w:start w:val="1"/>
      <w:numFmt w:val="lowerRoman"/>
      <w:lvlText w:val="%6."/>
      <w:lvlJc w:val="right"/>
      <w:pPr>
        <w:ind w:left="8058" w:hanging="180"/>
      </w:pPr>
    </w:lvl>
    <w:lvl w:ilvl="6" w:tplc="0C0A000F" w:tentative="1">
      <w:start w:val="1"/>
      <w:numFmt w:val="decimal"/>
      <w:lvlText w:val="%7."/>
      <w:lvlJc w:val="left"/>
      <w:pPr>
        <w:ind w:left="8778" w:hanging="360"/>
      </w:pPr>
    </w:lvl>
    <w:lvl w:ilvl="7" w:tplc="0C0A0019" w:tentative="1">
      <w:start w:val="1"/>
      <w:numFmt w:val="lowerLetter"/>
      <w:lvlText w:val="%8."/>
      <w:lvlJc w:val="left"/>
      <w:pPr>
        <w:ind w:left="9498" w:hanging="360"/>
      </w:pPr>
    </w:lvl>
    <w:lvl w:ilvl="8" w:tplc="0C0A001B" w:tentative="1">
      <w:start w:val="1"/>
      <w:numFmt w:val="lowerRoman"/>
      <w:lvlText w:val="%9."/>
      <w:lvlJc w:val="right"/>
      <w:pPr>
        <w:ind w:left="10218" w:hanging="180"/>
      </w:pPr>
    </w:lvl>
  </w:abstractNum>
  <w:abstractNum w:abstractNumId="9" w15:restartNumberingAfterBreak="0">
    <w:nsid w:val="4B6222F2"/>
    <w:multiLevelType w:val="hybridMultilevel"/>
    <w:tmpl w:val="C9289714"/>
    <w:lvl w:ilvl="0" w:tplc="0204B0F8">
      <w:start w:val="1"/>
      <w:numFmt w:val="bullet"/>
      <w:lvlText w:val=""/>
      <w:lvlJc w:val="left"/>
      <w:pPr>
        <w:ind w:left="1069" w:hanging="360"/>
      </w:pPr>
      <w:rPr>
        <w:rFonts w:ascii="Symbol" w:hAnsi="Symbol" w:hint="default"/>
        <w:color w:val="auto"/>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 w15:restartNumberingAfterBreak="0">
    <w:nsid w:val="4DFE5FD5"/>
    <w:multiLevelType w:val="hybridMultilevel"/>
    <w:tmpl w:val="B3B4B18E"/>
    <w:lvl w:ilvl="0" w:tplc="4B460CC4">
      <w:start w:val="1"/>
      <w:numFmt w:val="lowerLetter"/>
      <w:lvlText w:val="%1)"/>
      <w:lvlJc w:val="left"/>
      <w:pPr>
        <w:ind w:left="218" w:hanging="360"/>
      </w:pPr>
      <w:rPr>
        <w:rFonts w:hint="default"/>
        <w:b/>
      </w:rPr>
    </w:lvl>
    <w:lvl w:ilvl="1" w:tplc="280A0019" w:tentative="1">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11" w15:restartNumberingAfterBreak="0">
    <w:nsid w:val="589C17DD"/>
    <w:multiLevelType w:val="hybridMultilevel"/>
    <w:tmpl w:val="B42C8AA0"/>
    <w:lvl w:ilvl="0" w:tplc="250EF408">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59B36301"/>
    <w:multiLevelType w:val="hybridMultilevel"/>
    <w:tmpl w:val="B42C8AA0"/>
    <w:lvl w:ilvl="0" w:tplc="250EF408">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C905C8C"/>
    <w:multiLevelType w:val="hybridMultilevel"/>
    <w:tmpl w:val="ECECCCDC"/>
    <w:lvl w:ilvl="0" w:tplc="8438E4C4">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665D3B9E"/>
    <w:multiLevelType w:val="hybridMultilevel"/>
    <w:tmpl w:val="DCCC12EC"/>
    <w:lvl w:ilvl="0" w:tplc="280A8230">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C2C3077"/>
    <w:multiLevelType w:val="hybridMultilevel"/>
    <w:tmpl w:val="EC926584"/>
    <w:lvl w:ilvl="0" w:tplc="3558F7CC">
      <w:start w:val="1"/>
      <w:numFmt w:val="upperRoman"/>
      <w:lvlText w:val="%1."/>
      <w:lvlJc w:val="left"/>
      <w:pPr>
        <w:ind w:left="1288" w:hanging="72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6" w15:restartNumberingAfterBreak="0">
    <w:nsid w:val="6D701E7B"/>
    <w:multiLevelType w:val="hybridMultilevel"/>
    <w:tmpl w:val="125E2860"/>
    <w:lvl w:ilvl="0" w:tplc="280A000F">
      <w:start w:val="1"/>
      <w:numFmt w:val="decimal"/>
      <w:lvlText w:val="%1."/>
      <w:lvlJc w:val="left"/>
      <w:pPr>
        <w:ind w:left="896" w:hanging="360"/>
      </w:pPr>
    </w:lvl>
    <w:lvl w:ilvl="1" w:tplc="280A0019" w:tentative="1">
      <w:start w:val="1"/>
      <w:numFmt w:val="lowerLetter"/>
      <w:lvlText w:val="%2."/>
      <w:lvlJc w:val="left"/>
      <w:pPr>
        <w:ind w:left="1616" w:hanging="360"/>
      </w:pPr>
    </w:lvl>
    <w:lvl w:ilvl="2" w:tplc="280A001B" w:tentative="1">
      <w:start w:val="1"/>
      <w:numFmt w:val="lowerRoman"/>
      <w:lvlText w:val="%3."/>
      <w:lvlJc w:val="right"/>
      <w:pPr>
        <w:ind w:left="2336" w:hanging="180"/>
      </w:pPr>
    </w:lvl>
    <w:lvl w:ilvl="3" w:tplc="280A000F" w:tentative="1">
      <w:start w:val="1"/>
      <w:numFmt w:val="decimal"/>
      <w:lvlText w:val="%4."/>
      <w:lvlJc w:val="left"/>
      <w:pPr>
        <w:ind w:left="3056" w:hanging="360"/>
      </w:pPr>
    </w:lvl>
    <w:lvl w:ilvl="4" w:tplc="280A0019" w:tentative="1">
      <w:start w:val="1"/>
      <w:numFmt w:val="lowerLetter"/>
      <w:lvlText w:val="%5."/>
      <w:lvlJc w:val="left"/>
      <w:pPr>
        <w:ind w:left="3776" w:hanging="360"/>
      </w:pPr>
    </w:lvl>
    <w:lvl w:ilvl="5" w:tplc="280A001B" w:tentative="1">
      <w:start w:val="1"/>
      <w:numFmt w:val="lowerRoman"/>
      <w:lvlText w:val="%6."/>
      <w:lvlJc w:val="right"/>
      <w:pPr>
        <w:ind w:left="4496" w:hanging="180"/>
      </w:pPr>
    </w:lvl>
    <w:lvl w:ilvl="6" w:tplc="280A000F" w:tentative="1">
      <w:start w:val="1"/>
      <w:numFmt w:val="decimal"/>
      <w:lvlText w:val="%7."/>
      <w:lvlJc w:val="left"/>
      <w:pPr>
        <w:ind w:left="5216" w:hanging="360"/>
      </w:pPr>
    </w:lvl>
    <w:lvl w:ilvl="7" w:tplc="280A0019" w:tentative="1">
      <w:start w:val="1"/>
      <w:numFmt w:val="lowerLetter"/>
      <w:lvlText w:val="%8."/>
      <w:lvlJc w:val="left"/>
      <w:pPr>
        <w:ind w:left="5936" w:hanging="360"/>
      </w:pPr>
    </w:lvl>
    <w:lvl w:ilvl="8" w:tplc="280A001B" w:tentative="1">
      <w:start w:val="1"/>
      <w:numFmt w:val="lowerRoman"/>
      <w:lvlText w:val="%9."/>
      <w:lvlJc w:val="right"/>
      <w:pPr>
        <w:ind w:left="6656" w:hanging="180"/>
      </w:pPr>
    </w:lvl>
  </w:abstractNum>
  <w:abstractNum w:abstractNumId="17" w15:restartNumberingAfterBreak="0">
    <w:nsid w:val="6E6E513C"/>
    <w:multiLevelType w:val="multilevel"/>
    <w:tmpl w:val="85BC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2D6BC7"/>
    <w:multiLevelType w:val="hybridMultilevel"/>
    <w:tmpl w:val="8D4E7EA6"/>
    <w:lvl w:ilvl="0" w:tplc="4610629A">
      <w:start w:val="1"/>
      <w:numFmt w:val="lowerLetter"/>
      <w:lvlText w:val="%1)"/>
      <w:lvlJc w:val="left"/>
      <w:pPr>
        <w:ind w:left="218" w:hanging="360"/>
      </w:pPr>
      <w:rPr>
        <w:rFonts w:hint="default"/>
        <w:b/>
      </w:rPr>
    </w:lvl>
    <w:lvl w:ilvl="1" w:tplc="280A0019" w:tentative="1">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19" w15:restartNumberingAfterBreak="0">
    <w:nsid w:val="7176000E"/>
    <w:multiLevelType w:val="hybridMultilevel"/>
    <w:tmpl w:val="A2A4EDFE"/>
    <w:lvl w:ilvl="0" w:tplc="280A0001">
      <w:start w:val="1"/>
      <w:numFmt w:val="bullet"/>
      <w:lvlText w:val=""/>
      <w:lvlJc w:val="left"/>
      <w:pPr>
        <w:ind w:left="720" w:hanging="360"/>
      </w:pPr>
      <w:rPr>
        <w:rFonts w:ascii="Symbol" w:hAnsi="Symbol" w:cs="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E392743"/>
    <w:multiLevelType w:val="hybridMultilevel"/>
    <w:tmpl w:val="E6C82C22"/>
    <w:lvl w:ilvl="0" w:tplc="280A0001">
      <w:start w:val="1"/>
      <w:numFmt w:val="bullet"/>
      <w:lvlText w:val=""/>
      <w:lvlJc w:val="left"/>
      <w:pPr>
        <w:ind w:left="720" w:hanging="360"/>
      </w:pPr>
      <w:rPr>
        <w:rFonts w:ascii="Symbol" w:hAnsi="Symbol" w:cs="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
  </w:num>
  <w:num w:numId="4">
    <w:abstractNumId w:val="6"/>
  </w:num>
  <w:num w:numId="5">
    <w:abstractNumId w:val="18"/>
  </w:num>
  <w:num w:numId="6">
    <w:abstractNumId w:val="10"/>
  </w:num>
  <w:num w:numId="7">
    <w:abstractNumId w:val="0"/>
  </w:num>
  <w:num w:numId="8">
    <w:abstractNumId w:val="16"/>
  </w:num>
  <w:num w:numId="9">
    <w:abstractNumId w:val="17"/>
  </w:num>
  <w:num w:numId="10">
    <w:abstractNumId w:val="7"/>
  </w:num>
  <w:num w:numId="11">
    <w:abstractNumId w:val="12"/>
  </w:num>
  <w:num w:numId="12">
    <w:abstractNumId w:val="11"/>
  </w:num>
  <w:num w:numId="13">
    <w:abstractNumId w:val="3"/>
  </w:num>
  <w:num w:numId="14">
    <w:abstractNumId w:val="14"/>
  </w:num>
  <w:num w:numId="15">
    <w:abstractNumId w:val="4"/>
  </w:num>
  <w:num w:numId="16">
    <w:abstractNumId w:val="13"/>
  </w:num>
  <w:num w:numId="17">
    <w:abstractNumId w:val="9"/>
  </w:num>
  <w:num w:numId="18">
    <w:abstractNumId w:val="8"/>
  </w:num>
  <w:num w:numId="19">
    <w:abstractNumId w:val="20"/>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B3"/>
    <w:rsid w:val="00004810"/>
    <w:rsid w:val="00025084"/>
    <w:rsid w:val="00034E86"/>
    <w:rsid w:val="00057B97"/>
    <w:rsid w:val="00057BDE"/>
    <w:rsid w:val="00057CDD"/>
    <w:rsid w:val="000655A9"/>
    <w:rsid w:val="0007042B"/>
    <w:rsid w:val="000937C8"/>
    <w:rsid w:val="000A1490"/>
    <w:rsid w:val="000B42DB"/>
    <w:rsid w:val="000B624D"/>
    <w:rsid w:val="000C12F7"/>
    <w:rsid w:val="000C2D73"/>
    <w:rsid w:val="000D3D25"/>
    <w:rsid w:val="000E1209"/>
    <w:rsid w:val="000E17F6"/>
    <w:rsid w:val="000E330D"/>
    <w:rsid w:val="0010035D"/>
    <w:rsid w:val="001275D8"/>
    <w:rsid w:val="00133860"/>
    <w:rsid w:val="00145B4A"/>
    <w:rsid w:val="00163B5D"/>
    <w:rsid w:val="001713A3"/>
    <w:rsid w:val="00171E92"/>
    <w:rsid w:val="00180579"/>
    <w:rsid w:val="001920E0"/>
    <w:rsid w:val="00196370"/>
    <w:rsid w:val="001A15EE"/>
    <w:rsid w:val="001A515C"/>
    <w:rsid w:val="001D44B9"/>
    <w:rsid w:val="001E38EA"/>
    <w:rsid w:val="001E3E5A"/>
    <w:rsid w:val="001F2A50"/>
    <w:rsid w:val="002059C0"/>
    <w:rsid w:val="00220FAA"/>
    <w:rsid w:val="002219C0"/>
    <w:rsid w:val="00232E45"/>
    <w:rsid w:val="0024252B"/>
    <w:rsid w:val="002437A1"/>
    <w:rsid w:val="002506EF"/>
    <w:rsid w:val="00261F55"/>
    <w:rsid w:val="00281AFB"/>
    <w:rsid w:val="00286D74"/>
    <w:rsid w:val="002B5F92"/>
    <w:rsid w:val="002C0169"/>
    <w:rsid w:val="002D6297"/>
    <w:rsid w:val="002D7B80"/>
    <w:rsid w:val="002E4E46"/>
    <w:rsid w:val="002E6959"/>
    <w:rsid w:val="002F2D9F"/>
    <w:rsid w:val="00300678"/>
    <w:rsid w:val="003123C3"/>
    <w:rsid w:val="00317E16"/>
    <w:rsid w:val="003362C7"/>
    <w:rsid w:val="00337E2E"/>
    <w:rsid w:val="00390347"/>
    <w:rsid w:val="00396C94"/>
    <w:rsid w:val="003A4AE0"/>
    <w:rsid w:val="003B07D8"/>
    <w:rsid w:val="003B07F9"/>
    <w:rsid w:val="003E1656"/>
    <w:rsid w:val="003E2A4C"/>
    <w:rsid w:val="003E5AE7"/>
    <w:rsid w:val="003F7D24"/>
    <w:rsid w:val="00403FE8"/>
    <w:rsid w:val="004138BF"/>
    <w:rsid w:val="004303D3"/>
    <w:rsid w:val="0044475E"/>
    <w:rsid w:val="004450BD"/>
    <w:rsid w:val="004608A3"/>
    <w:rsid w:val="00471F28"/>
    <w:rsid w:val="00496237"/>
    <w:rsid w:val="004A716F"/>
    <w:rsid w:val="004B1E20"/>
    <w:rsid w:val="004C4977"/>
    <w:rsid w:val="004D4A84"/>
    <w:rsid w:val="004E5D8F"/>
    <w:rsid w:val="0050641D"/>
    <w:rsid w:val="00521B49"/>
    <w:rsid w:val="00526D9C"/>
    <w:rsid w:val="00565129"/>
    <w:rsid w:val="00572443"/>
    <w:rsid w:val="00586BD3"/>
    <w:rsid w:val="00592B18"/>
    <w:rsid w:val="005A2CB3"/>
    <w:rsid w:val="005A5827"/>
    <w:rsid w:val="005B25AC"/>
    <w:rsid w:val="005B2964"/>
    <w:rsid w:val="005B3C7E"/>
    <w:rsid w:val="005B6B30"/>
    <w:rsid w:val="005F0C40"/>
    <w:rsid w:val="005F4EB3"/>
    <w:rsid w:val="00621202"/>
    <w:rsid w:val="006451EC"/>
    <w:rsid w:val="00661605"/>
    <w:rsid w:val="0066209F"/>
    <w:rsid w:val="0067451A"/>
    <w:rsid w:val="006773DA"/>
    <w:rsid w:val="0068484C"/>
    <w:rsid w:val="00696D76"/>
    <w:rsid w:val="006B6234"/>
    <w:rsid w:val="006D133C"/>
    <w:rsid w:val="006D3BC4"/>
    <w:rsid w:val="006D6E21"/>
    <w:rsid w:val="006E4221"/>
    <w:rsid w:val="00704308"/>
    <w:rsid w:val="0070545B"/>
    <w:rsid w:val="007067EB"/>
    <w:rsid w:val="007220D3"/>
    <w:rsid w:val="00734B5C"/>
    <w:rsid w:val="00736039"/>
    <w:rsid w:val="0074327D"/>
    <w:rsid w:val="007562E8"/>
    <w:rsid w:val="0077150F"/>
    <w:rsid w:val="00772691"/>
    <w:rsid w:val="007743E3"/>
    <w:rsid w:val="00777486"/>
    <w:rsid w:val="00787606"/>
    <w:rsid w:val="00795F21"/>
    <w:rsid w:val="007C5BEF"/>
    <w:rsid w:val="007D60F4"/>
    <w:rsid w:val="007E7F31"/>
    <w:rsid w:val="007F3901"/>
    <w:rsid w:val="007F46EC"/>
    <w:rsid w:val="007F60BA"/>
    <w:rsid w:val="008058F0"/>
    <w:rsid w:val="00807649"/>
    <w:rsid w:val="00816EFA"/>
    <w:rsid w:val="008354B8"/>
    <w:rsid w:val="00846BA6"/>
    <w:rsid w:val="00855321"/>
    <w:rsid w:val="008619AF"/>
    <w:rsid w:val="008B246D"/>
    <w:rsid w:val="008B3F06"/>
    <w:rsid w:val="008C0130"/>
    <w:rsid w:val="008C204A"/>
    <w:rsid w:val="008C7FE2"/>
    <w:rsid w:val="008D2AB1"/>
    <w:rsid w:val="008D45BA"/>
    <w:rsid w:val="008E54FB"/>
    <w:rsid w:val="008E6BE1"/>
    <w:rsid w:val="008F21A3"/>
    <w:rsid w:val="008F3BEE"/>
    <w:rsid w:val="00900A4E"/>
    <w:rsid w:val="0090309D"/>
    <w:rsid w:val="00915349"/>
    <w:rsid w:val="00916CAD"/>
    <w:rsid w:val="00932CAF"/>
    <w:rsid w:val="00963805"/>
    <w:rsid w:val="00964CAC"/>
    <w:rsid w:val="0097064E"/>
    <w:rsid w:val="0097164F"/>
    <w:rsid w:val="00991628"/>
    <w:rsid w:val="009977DA"/>
    <w:rsid w:val="009A0AB8"/>
    <w:rsid w:val="009A31B1"/>
    <w:rsid w:val="009C00D1"/>
    <w:rsid w:val="009D6B08"/>
    <w:rsid w:val="009E0DC6"/>
    <w:rsid w:val="009E5B20"/>
    <w:rsid w:val="009F3072"/>
    <w:rsid w:val="00A04DB5"/>
    <w:rsid w:val="00A06821"/>
    <w:rsid w:val="00A1117E"/>
    <w:rsid w:val="00A14667"/>
    <w:rsid w:val="00A22B5B"/>
    <w:rsid w:val="00A50279"/>
    <w:rsid w:val="00A537D3"/>
    <w:rsid w:val="00A53947"/>
    <w:rsid w:val="00A71064"/>
    <w:rsid w:val="00A8037A"/>
    <w:rsid w:val="00A8105A"/>
    <w:rsid w:val="00A813F9"/>
    <w:rsid w:val="00A82086"/>
    <w:rsid w:val="00A840D6"/>
    <w:rsid w:val="00A95271"/>
    <w:rsid w:val="00AA14ED"/>
    <w:rsid w:val="00AA56A9"/>
    <w:rsid w:val="00AB151D"/>
    <w:rsid w:val="00AD51FE"/>
    <w:rsid w:val="00AD59A3"/>
    <w:rsid w:val="00AE0B0C"/>
    <w:rsid w:val="00AE142B"/>
    <w:rsid w:val="00AE278F"/>
    <w:rsid w:val="00AE7DAC"/>
    <w:rsid w:val="00AF7C4C"/>
    <w:rsid w:val="00B10040"/>
    <w:rsid w:val="00B119B0"/>
    <w:rsid w:val="00B13766"/>
    <w:rsid w:val="00B168A7"/>
    <w:rsid w:val="00B20C80"/>
    <w:rsid w:val="00B35467"/>
    <w:rsid w:val="00B3581D"/>
    <w:rsid w:val="00B374EF"/>
    <w:rsid w:val="00B42CF1"/>
    <w:rsid w:val="00B50B53"/>
    <w:rsid w:val="00B56FD7"/>
    <w:rsid w:val="00B61E7A"/>
    <w:rsid w:val="00B66D0E"/>
    <w:rsid w:val="00B80086"/>
    <w:rsid w:val="00B853D7"/>
    <w:rsid w:val="00B85EA4"/>
    <w:rsid w:val="00B94197"/>
    <w:rsid w:val="00BA10E6"/>
    <w:rsid w:val="00BA4A2B"/>
    <w:rsid w:val="00BB5191"/>
    <w:rsid w:val="00BC5447"/>
    <w:rsid w:val="00BD1812"/>
    <w:rsid w:val="00BD1A29"/>
    <w:rsid w:val="00BF7011"/>
    <w:rsid w:val="00C132D2"/>
    <w:rsid w:val="00C379D5"/>
    <w:rsid w:val="00C562D5"/>
    <w:rsid w:val="00C60B51"/>
    <w:rsid w:val="00C63422"/>
    <w:rsid w:val="00C72E2C"/>
    <w:rsid w:val="00CA1F41"/>
    <w:rsid w:val="00CB2DA4"/>
    <w:rsid w:val="00CC26BA"/>
    <w:rsid w:val="00CF6A4A"/>
    <w:rsid w:val="00D07224"/>
    <w:rsid w:val="00D30C79"/>
    <w:rsid w:val="00D31C45"/>
    <w:rsid w:val="00D339A5"/>
    <w:rsid w:val="00D37D19"/>
    <w:rsid w:val="00D41771"/>
    <w:rsid w:val="00D45A19"/>
    <w:rsid w:val="00D51745"/>
    <w:rsid w:val="00D74E7A"/>
    <w:rsid w:val="00D91FF9"/>
    <w:rsid w:val="00DA2E13"/>
    <w:rsid w:val="00DC0D84"/>
    <w:rsid w:val="00DD424C"/>
    <w:rsid w:val="00DD48B1"/>
    <w:rsid w:val="00DD682D"/>
    <w:rsid w:val="00DD76D1"/>
    <w:rsid w:val="00DE6697"/>
    <w:rsid w:val="00E02313"/>
    <w:rsid w:val="00E03ED0"/>
    <w:rsid w:val="00E11A8E"/>
    <w:rsid w:val="00E21407"/>
    <w:rsid w:val="00E4410B"/>
    <w:rsid w:val="00E476E1"/>
    <w:rsid w:val="00E66082"/>
    <w:rsid w:val="00E761C2"/>
    <w:rsid w:val="00EA1DB8"/>
    <w:rsid w:val="00EA3A7E"/>
    <w:rsid w:val="00EB5E7F"/>
    <w:rsid w:val="00EC27DB"/>
    <w:rsid w:val="00EC49D4"/>
    <w:rsid w:val="00EC67A3"/>
    <w:rsid w:val="00ED53C7"/>
    <w:rsid w:val="00EF0433"/>
    <w:rsid w:val="00EF7519"/>
    <w:rsid w:val="00F1676E"/>
    <w:rsid w:val="00F20BB0"/>
    <w:rsid w:val="00F3000A"/>
    <w:rsid w:val="00F35791"/>
    <w:rsid w:val="00F37B3D"/>
    <w:rsid w:val="00F62150"/>
    <w:rsid w:val="00F77CEF"/>
    <w:rsid w:val="00F822E9"/>
    <w:rsid w:val="00F95706"/>
    <w:rsid w:val="00F96CA6"/>
    <w:rsid w:val="00FA6929"/>
    <w:rsid w:val="00FC2B2D"/>
    <w:rsid w:val="00FC39F3"/>
    <w:rsid w:val="00FC3ABB"/>
    <w:rsid w:val="00FC4F6C"/>
    <w:rsid w:val="00FC513E"/>
    <w:rsid w:val="00FF1BD9"/>
    <w:rsid w:val="00FF1E28"/>
    <w:rsid w:val="00FF35DA"/>
    <w:rsid w:val="00FF77C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8292"/>
  <w15:chartTrackingRefBased/>
  <w15:docId w15:val="{3BEC3F7E-21B5-4AD7-97BF-7506A8C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4"/>
        <w:szCs w:val="24"/>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EB3"/>
    <w:pPr>
      <w:spacing w:after="120" w:line="264" w:lineRule="auto"/>
    </w:pPr>
    <w:rPr>
      <w:rFonts w:asciiTheme="minorHAnsi" w:eastAsiaTheme="minorEastAsia" w:hAnsiTheme="minorHAnsi" w:cstheme="minorBidi"/>
      <w:bC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 123,Viñeta normal,Párrafo de lista2,List Paragraph,reducira,Fundamentacion,Lista vistosa - Énfasis 11,Bulleted List,SubPárrafo de lista,Cita Pie de Página,titulo,Titulo de Fígura,TITULO A,Lista media 2 - Énfasis 41,figuras cap 5"/>
    <w:basedOn w:val="Normal"/>
    <w:link w:val="PrrafodelistaCar"/>
    <w:uiPriority w:val="34"/>
    <w:qFormat/>
    <w:rsid w:val="005F4EB3"/>
    <w:pPr>
      <w:ind w:left="720"/>
      <w:contextualSpacing/>
    </w:pPr>
  </w:style>
  <w:style w:type="character" w:customStyle="1" w:styleId="PrrafodelistaCar">
    <w:name w:val="Párrafo de lista Car"/>
    <w:aliases w:val="Lista 123 Car,Viñeta normal Car,Párrafo de lista2 Car,List Paragraph Car,reducira Car,Fundamentacion Car,Lista vistosa - Énfasis 11 Car,Bulleted List Car,SubPárrafo de lista Car,Cita Pie de Página Car,titulo Car,Titulo de Fígura Car"/>
    <w:link w:val="Prrafodelista"/>
    <w:uiPriority w:val="34"/>
    <w:locked/>
    <w:rsid w:val="005F4EB3"/>
    <w:rPr>
      <w:rFonts w:asciiTheme="minorHAnsi" w:eastAsiaTheme="minorEastAsia" w:hAnsiTheme="minorHAnsi" w:cstheme="minorBidi"/>
      <w:bCs w:val="0"/>
      <w:sz w:val="20"/>
      <w:szCs w:val="20"/>
    </w:rPr>
  </w:style>
  <w:style w:type="paragraph" w:customStyle="1" w:styleId="Default">
    <w:name w:val="Default"/>
    <w:rsid w:val="005F4EB3"/>
    <w:pPr>
      <w:autoSpaceDE w:val="0"/>
      <w:autoSpaceDN w:val="0"/>
      <w:adjustRightInd w:val="0"/>
      <w:spacing w:after="0" w:line="240" w:lineRule="auto"/>
    </w:pPr>
    <w:rPr>
      <w:rFonts w:ascii="Book Antiqua" w:eastAsiaTheme="minorEastAsia" w:hAnsi="Book Antiqua" w:cs="Book Antiqua"/>
      <w:bCs w:val="0"/>
      <w:color w:val="000000"/>
      <w:lang w:val="es-ES"/>
    </w:rPr>
  </w:style>
  <w:style w:type="character" w:customStyle="1" w:styleId="Fuentedeprrafopredeter1">
    <w:name w:val="Fuente de párrafo predeter.1"/>
    <w:rsid w:val="005F4EB3"/>
  </w:style>
  <w:style w:type="paragraph" w:styleId="Bibliografa">
    <w:name w:val="Bibliography"/>
    <w:basedOn w:val="Normal"/>
    <w:next w:val="Normal"/>
    <w:uiPriority w:val="37"/>
    <w:unhideWhenUsed/>
    <w:rsid w:val="005F4EB3"/>
    <w:pPr>
      <w:spacing w:after="200" w:line="276" w:lineRule="auto"/>
    </w:pPr>
    <w:rPr>
      <w:rFonts w:eastAsiaTheme="minorHAnsi"/>
      <w:sz w:val="22"/>
      <w:szCs w:val="22"/>
    </w:rPr>
  </w:style>
  <w:style w:type="paragraph" w:styleId="Sinespaciado">
    <w:name w:val="No Spacing"/>
    <w:uiPriority w:val="1"/>
    <w:qFormat/>
    <w:rsid w:val="005F4EB3"/>
    <w:pPr>
      <w:spacing w:after="0" w:line="240" w:lineRule="auto"/>
    </w:pPr>
    <w:rPr>
      <w:rFonts w:eastAsiaTheme="minorEastAsia"/>
      <w:bCs w:val="0"/>
    </w:rPr>
  </w:style>
  <w:style w:type="paragraph" w:styleId="TDC1">
    <w:name w:val="toc 1"/>
    <w:basedOn w:val="Normal"/>
    <w:next w:val="Normal"/>
    <w:autoRedefine/>
    <w:uiPriority w:val="39"/>
    <w:unhideWhenUsed/>
    <w:rsid w:val="005F4EB3"/>
    <w:pPr>
      <w:tabs>
        <w:tab w:val="left" w:pos="567"/>
        <w:tab w:val="left" w:pos="800"/>
        <w:tab w:val="center" w:pos="8778"/>
      </w:tabs>
      <w:spacing w:after="240" w:line="276" w:lineRule="auto"/>
      <w:ind w:left="-142" w:right="-285"/>
      <w:jc w:val="both"/>
    </w:pPr>
    <w:rPr>
      <w:rFonts w:ascii="Arial" w:hAnsi="Arial" w:cs="Arial"/>
      <w:b/>
      <w:bCs/>
      <w:sz w:val="24"/>
      <w:szCs w:val="24"/>
    </w:rPr>
  </w:style>
  <w:style w:type="paragraph" w:styleId="Encabezado">
    <w:name w:val="header"/>
    <w:basedOn w:val="Normal"/>
    <w:link w:val="EncabezadoCar"/>
    <w:uiPriority w:val="99"/>
    <w:unhideWhenUsed/>
    <w:rsid w:val="001275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75D8"/>
    <w:rPr>
      <w:rFonts w:asciiTheme="minorHAnsi" w:eastAsiaTheme="minorEastAsia" w:hAnsiTheme="minorHAnsi" w:cstheme="minorBidi"/>
      <w:bCs w:val="0"/>
      <w:sz w:val="20"/>
      <w:szCs w:val="20"/>
    </w:rPr>
  </w:style>
  <w:style w:type="paragraph" w:styleId="Piedepgina">
    <w:name w:val="footer"/>
    <w:basedOn w:val="Normal"/>
    <w:link w:val="PiedepginaCar"/>
    <w:uiPriority w:val="99"/>
    <w:unhideWhenUsed/>
    <w:rsid w:val="001275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75D8"/>
    <w:rPr>
      <w:rFonts w:asciiTheme="minorHAnsi" w:eastAsiaTheme="minorEastAsia" w:hAnsiTheme="minorHAnsi" w:cstheme="minorBidi"/>
      <w:bCs w:val="0"/>
      <w:sz w:val="20"/>
      <w:szCs w:val="20"/>
    </w:rPr>
  </w:style>
  <w:style w:type="paragraph" w:styleId="Textonotapie">
    <w:name w:val="footnote text"/>
    <w:basedOn w:val="Normal"/>
    <w:link w:val="TextonotapieCar"/>
    <w:semiHidden/>
    <w:unhideWhenUsed/>
    <w:rsid w:val="00736039"/>
    <w:pPr>
      <w:spacing w:after="0" w:line="240" w:lineRule="auto"/>
    </w:pPr>
  </w:style>
  <w:style w:type="character" w:customStyle="1" w:styleId="TextonotapieCar">
    <w:name w:val="Texto nota pie Car"/>
    <w:basedOn w:val="Fuentedeprrafopredeter"/>
    <w:link w:val="Textonotapie"/>
    <w:semiHidden/>
    <w:rsid w:val="00736039"/>
    <w:rPr>
      <w:rFonts w:asciiTheme="minorHAnsi" w:eastAsiaTheme="minorEastAsia" w:hAnsiTheme="minorHAnsi" w:cstheme="minorBidi"/>
      <w:bCs w:val="0"/>
      <w:sz w:val="20"/>
      <w:szCs w:val="20"/>
    </w:rPr>
  </w:style>
  <w:style w:type="character" w:styleId="Refdenotaalpie">
    <w:name w:val="footnote reference"/>
    <w:basedOn w:val="Fuentedeprrafopredeter"/>
    <w:semiHidden/>
    <w:unhideWhenUsed/>
    <w:rsid w:val="00736039"/>
    <w:rPr>
      <w:vertAlign w:val="superscript"/>
    </w:rPr>
  </w:style>
  <w:style w:type="paragraph" w:styleId="NormalWeb">
    <w:name w:val="Normal (Web)"/>
    <w:basedOn w:val="Normal"/>
    <w:uiPriority w:val="99"/>
    <w:semiHidden/>
    <w:unhideWhenUsed/>
    <w:rsid w:val="00057CDD"/>
    <w:pPr>
      <w:spacing w:before="100" w:beforeAutospacing="1" w:after="100" w:afterAutospacing="1" w:line="240" w:lineRule="auto"/>
    </w:pPr>
    <w:rPr>
      <w:rFonts w:ascii="Times New Roman" w:hAnsi="Times New Roman" w:cs="Times New Roman"/>
      <w:sz w:val="24"/>
      <w:szCs w:val="24"/>
      <w:lang w:eastAsia="es-PE"/>
    </w:rPr>
  </w:style>
  <w:style w:type="paragraph" w:styleId="Textodeglobo">
    <w:name w:val="Balloon Text"/>
    <w:basedOn w:val="Normal"/>
    <w:link w:val="TextodegloboCar"/>
    <w:uiPriority w:val="99"/>
    <w:semiHidden/>
    <w:unhideWhenUsed/>
    <w:rsid w:val="001A15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15EE"/>
    <w:rPr>
      <w:rFonts w:ascii="Segoe UI" w:eastAsiaTheme="minorEastAsia" w:hAnsi="Segoe UI" w:cs="Segoe UI"/>
      <w:bCs w:val="0"/>
      <w:sz w:val="18"/>
      <w:szCs w:val="18"/>
    </w:rPr>
  </w:style>
  <w:style w:type="paragraph" w:styleId="Textoindependiente">
    <w:name w:val="Body Text"/>
    <w:basedOn w:val="Normal"/>
    <w:link w:val="TextoindependienteCar"/>
    <w:rsid w:val="00846BA6"/>
    <w:pPr>
      <w:spacing w:after="0" w:line="240" w:lineRule="auto"/>
      <w:jc w:val="center"/>
    </w:pPr>
    <w:rPr>
      <w:rFonts w:ascii="Arial" w:eastAsia="Times New Roman" w:hAnsi="Arial" w:cs="Times New Roman"/>
      <w:b/>
      <w:bCs/>
      <w:sz w:val="32"/>
      <w:szCs w:val="24"/>
      <w:lang w:val="es-ES" w:eastAsia="es-ES"/>
    </w:rPr>
  </w:style>
  <w:style w:type="character" w:customStyle="1" w:styleId="TextoindependienteCar">
    <w:name w:val="Texto independiente Car"/>
    <w:basedOn w:val="Fuentedeprrafopredeter"/>
    <w:link w:val="Textoindependiente"/>
    <w:rsid w:val="00846BA6"/>
    <w:rPr>
      <w:rFonts w:eastAsia="Times New Roman" w:cs="Times New Roman"/>
      <w:b/>
      <w:sz w:val="32"/>
      <w:lang w:val="es-ES" w:eastAsia="es-ES"/>
    </w:rPr>
  </w:style>
  <w:style w:type="paragraph" w:styleId="HTMLconformatoprevio">
    <w:name w:val="HTML Preformatted"/>
    <w:basedOn w:val="Normal"/>
    <w:link w:val="HTMLconformatoprevioCar"/>
    <w:uiPriority w:val="99"/>
    <w:semiHidden/>
    <w:unhideWhenUsed/>
    <w:rsid w:val="0068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s-PE"/>
    </w:rPr>
  </w:style>
  <w:style w:type="character" w:customStyle="1" w:styleId="HTMLconformatoprevioCar">
    <w:name w:val="HTML con formato previo Car"/>
    <w:basedOn w:val="Fuentedeprrafopredeter"/>
    <w:link w:val="HTMLconformatoprevio"/>
    <w:uiPriority w:val="99"/>
    <w:semiHidden/>
    <w:rsid w:val="0068484C"/>
    <w:rPr>
      <w:rFonts w:ascii="Courier New" w:eastAsia="Times New Roman" w:hAnsi="Courier New" w:cs="Courier New"/>
      <w:bCs w:val="0"/>
      <w:sz w:val="20"/>
      <w:szCs w:val="20"/>
      <w:lang w:eastAsia="es-PE"/>
    </w:rPr>
  </w:style>
  <w:style w:type="paragraph" w:styleId="Ttulo">
    <w:name w:val="Title"/>
    <w:basedOn w:val="Normal"/>
    <w:link w:val="TtuloCar"/>
    <w:qFormat/>
    <w:rsid w:val="0068484C"/>
    <w:pPr>
      <w:spacing w:after="0" w:line="240" w:lineRule="auto"/>
      <w:jc w:val="center"/>
    </w:pPr>
    <w:rPr>
      <w:rFonts w:ascii="Times New Roman" w:eastAsia="Times New Roman" w:hAnsi="Times New Roman" w:cs="Times New Roman"/>
      <w:b/>
      <w:sz w:val="24"/>
      <w:u w:val="single"/>
      <w:lang w:val="es-ES" w:eastAsia="es-ES"/>
    </w:rPr>
  </w:style>
  <w:style w:type="character" w:customStyle="1" w:styleId="TtuloCar">
    <w:name w:val="Título Car"/>
    <w:basedOn w:val="Fuentedeprrafopredeter"/>
    <w:link w:val="Ttulo"/>
    <w:rsid w:val="0068484C"/>
    <w:rPr>
      <w:rFonts w:ascii="Times New Roman" w:eastAsia="Times New Roman" w:hAnsi="Times New Roman" w:cs="Times New Roman"/>
      <w:b/>
      <w:bCs w:val="0"/>
      <w:szCs w:val="20"/>
      <w:u w:val="single"/>
      <w:lang w:val="es-ES" w:eastAsia="es-ES"/>
    </w:rPr>
  </w:style>
  <w:style w:type="paragraph" w:styleId="Sangra2detindependiente">
    <w:name w:val="Body Text Indent 2"/>
    <w:basedOn w:val="Normal"/>
    <w:link w:val="Sangra2detindependienteCar"/>
    <w:uiPriority w:val="99"/>
    <w:semiHidden/>
    <w:unhideWhenUsed/>
    <w:rsid w:val="007C5BEF"/>
    <w:pPr>
      <w:spacing w:line="480" w:lineRule="auto"/>
      <w:ind w:left="283"/>
    </w:pPr>
  </w:style>
  <w:style w:type="character" w:customStyle="1" w:styleId="Sangra2detindependienteCar">
    <w:name w:val="Sangría 2 de t. independiente Car"/>
    <w:basedOn w:val="Fuentedeprrafopredeter"/>
    <w:link w:val="Sangra2detindependiente"/>
    <w:uiPriority w:val="99"/>
    <w:semiHidden/>
    <w:rsid w:val="007C5BEF"/>
    <w:rPr>
      <w:rFonts w:asciiTheme="minorHAnsi" w:eastAsiaTheme="minorEastAsia" w:hAnsiTheme="minorHAnsi" w:cstheme="minorBidi"/>
      <w:bCs w:val="0"/>
      <w:sz w:val="20"/>
      <w:szCs w:val="20"/>
    </w:rPr>
  </w:style>
  <w:style w:type="character" w:styleId="Hipervnculo">
    <w:name w:val="Hyperlink"/>
    <w:uiPriority w:val="99"/>
    <w:rsid w:val="00D31C45"/>
    <w:rPr>
      <w:color w:val="0000FF"/>
      <w:u w:val="single"/>
    </w:rPr>
  </w:style>
  <w:style w:type="character" w:customStyle="1" w:styleId="ff3">
    <w:name w:val="ff3"/>
    <w:basedOn w:val="Fuentedeprrafopredeter"/>
    <w:rsid w:val="00B168A7"/>
  </w:style>
  <w:style w:type="character" w:customStyle="1" w:styleId="a">
    <w:name w:val="_"/>
    <w:basedOn w:val="Fuentedeprrafopredeter"/>
    <w:rsid w:val="00B168A7"/>
  </w:style>
  <w:style w:type="character" w:customStyle="1" w:styleId="fs7">
    <w:name w:val="fs7"/>
    <w:basedOn w:val="Fuentedeprrafopredeter"/>
    <w:rsid w:val="00B168A7"/>
  </w:style>
  <w:style w:type="character" w:customStyle="1" w:styleId="v0">
    <w:name w:val="v0"/>
    <w:basedOn w:val="Fuentedeprrafopredeter"/>
    <w:rsid w:val="00B168A7"/>
  </w:style>
  <w:style w:type="character" w:customStyle="1" w:styleId="ff1">
    <w:name w:val="ff1"/>
    <w:basedOn w:val="Fuentedeprrafopredeter"/>
    <w:rsid w:val="00B168A7"/>
  </w:style>
  <w:style w:type="character" w:customStyle="1" w:styleId="ff4">
    <w:name w:val="ff4"/>
    <w:basedOn w:val="Fuentedeprrafopredeter"/>
    <w:rsid w:val="00B168A7"/>
  </w:style>
  <w:style w:type="character" w:styleId="nfasis">
    <w:name w:val="Emphasis"/>
    <w:basedOn w:val="Fuentedeprrafopredeter"/>
    <w:uiPriority w:val="20"/>
    <w:qFormat/>
    <w:rsid w:val="008C204A"/>
    <w:rPr>
      <w:i/>
      <w:iCs/>
    </w:rPr>
  </w:style>
  <w:style w:type="table" w:customStyle="1" w:styleId="Listamedia11">
    <w:name w:val="Lista media 11"/>
    <w:basedOn w:val="Tablanormal"/>
    <w:next w:val="Listamedia1"/>
    <w:uiPriority w:val="65"/>
    <w:rsid w:val="00004810"/>
    <w:pPr>
      <w:spacing w:after="0" w:line="240" w:lineRule="auto"/>
    </w:pPr>
    <w:rPr>
      <w:rFonts w:ascii="Calibri" w:hAnsi="Calibri" w:cs="Times New Roman"/>
      <w:bCs w:val="0"/>
      <w:color w:val="000000"/>
      <w:sz w:val="22"/>
      <w:szCs w:val="22"/>
      <w:lang w:val="es-E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
    <w:name w:val="Medium List 1"/>
    <w:basedOn w:val="Tablanormal"/>
    <w:uiPriority w:val="65"/>
    <w:semiHidden/>
    <w:unhideWhenUsed/>
    <w:rsid w:val="000048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amedia12">
    <w:name w:val="Lista media 12"/>
    <w:basedOn w:val="Tablanormal"/>
    <w:next w:val="Listamedia1"/>
    <w:uiPriority w:val="65"/>
    <w:rsid w:val="00BA10E6"/>
    <w:pPr>
      <w:spacing w:after="0" w:line="240" w:lineRule="auto"/>
    </w:pPr>
    <w:rPr>
      <w:rFonts w:ascii="Calibri" w:hAnsi="Calibri" w:cs="Times New Roman"/>
      <w:bCs w:val="0"/>
      <w:color w:val="000000"/>
      <w:sz w:val="22"/>
      <w:szCs w:val="22"/>
      <w:lang w:val="es-E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Mencinsinresolver">
    <w:name w:val="Unresolved Mention"/>
    <w:basedOn w:val="Fuentedeprrafopredeter"/>
    <w:uiPriority w:val="99"/>
    <w:semiHidden/>
    <w:unhideWhenUsed/>
    <w:rsid w:val="00232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4585">
      <w:bodyDiv w:val="1"/>
      <w:marLeft w:val="0"/>
      <w:marRight w:val="0"/>
      <w:marTop w:val="0"/>
      <w:marBottom w:val="0"/>
      <w:divBdr>
        <w:top w:val="none" w:sz="0" w:space="0" w:color="auto"/>
        <w:left w:val="none" w:sz="0" w:space="0" w:color="auto"/>
        <w:bottom w:val="none" w:sz="0" w:space="0" w:color="auto"/>
        <w:right w:val="none" w:sz="0" w:space="0" w:color="auto"/>
      </w:divBdr>
    </w:div>
    <w:div w:id="176238086">
      <w:bodyDiv w:val="1"/>
      <w:marLeft w:val="0"/>
      <w:marRight w:val="0"/>
      <w:marTop w:val="0"/>
      <w:marBottom w:val="0"/>
      <w:divBdr>
        <w:top w:val="none" w:sz="0" w:space="0" w:color="auto"/>
        <w:left w:val="none" w:sz="0" w:space="0" w:color="auto"/>
        <w:bottom w:val="none" w:sz="0" w:space="0" w:color="auto"/>
        <w:right w:val="none" w:sz="0" w:space="0" w:color="auto"/>
      </w:divBdr>
    </w:div>
    <w:div w:id="245112270">
      <w:bodyDiv w:val="1"/>
      <w:marLeft w:val="0"/>
      <w:marRight w:val="0"/>
      <w:marTop w:val="0"/>
      <w:marBottom w:val="0"/>
      <w:divBdr>
        <w:top w:val="none" w:sz="0" w:space="0" w:color="auto"/>
        <w:left w:val="none" w:sz="0" w:space="0" w:color="auto"/>
        <w:bottom w:val="none" w:sz="0" w:space="0" w:color="auto"/>
        <w:right w:val="none" w:sz="0" w:space="0" w:color="auto"/>
      </w:divBdr>
    </w:div>
    <w:div w:id="553584090">
      <w:bodyDiv w:val="1"/>
      <w:marLeft w:val="0"/>
      <w:marRight w:val="0"/>
      <w:marTop w:val="0"/>
      <w:marBottom w:val="0"/>
      <w:divBdr>
        <w:top w:val="none" w:sz="0" w:space="0" w:color="auto"/>
        <w:left w:val="none" w:sz="0" w:space="0" w:color="auto"/>
        <w:bottom w:val="none" w:sz="0" w:space="0" w:color="auto"/>
        <w:right w:val="none" w:sz="0" w:space="0" w:color="auto"/>
      </w:divBdr>
    </w:div>
    <w:div w:id="931740915">
      <w:bodyDiv w:val="1"/>
      <w:marLeft w:val="0"/>
      <w:marRight w:val="0"/>
      <w:marTop w:val="0"/>
      <w:marBottom w:val="0"/>
      <w:divBdr>
        <w:top w:val="none" w:sz="0" w:space="0" w:color="auto"/>
        <w:left w:val="none" w:sz="0" w:space="0" w:color="auto"/>
        <w:bottom w:val="none" w:sz="0" w:space="0" w:color="auto"/>
        <w:right w:val="none" w:sz="0" w:space="0" w:color="auto"/>
      </w:divBdr>
    </w:div>
    <w:div w:id="1380084548">
      <w:bodyDiv w:val="1"/>
      <w:marLeft w:val="0"/>
      <w:marRight w:val="0"/>
      <w:marTop w:val="0"/>
      <w:marBottom w:val="0"/>
      <w:divBdr>
        <w:top w:val="none" w:sz="0" w:space="0" w:color="auto"/>
        <w:left w:val="none" w:sz="0" w:space="0" w:color="auto"/>
        <w:bottom w:val="none" w:sz="0" w:space="0" w:color="auto"/>
        <w:right w:val="none" w:sz="0" w:space="0" w:color="auto"/>
      </w:divBdr>
      <w:divsChild>
        <w:div w:id="1929070004">
          <w:marLeft w:val="0"/>
          <w:marRight w:val="0"/>
          <w:marTop w:val="0"/>
          <w:marBottom w:val="0"/>
          <w:divBdr>
            <w:top w:val="none" w:sz="0" w:space="0" w:color="auto"/>
            <w:left w:val="none" w:sz="0" w:space="0" w:color="auto"/>
            <w:bottom w:val="none" w:sz="0" w:space="0" w:color="auto"/>
            <w:right w:val="none" w:sz="0" w:space="0" w:color="auto"/>
          </w:divBdr>
        </w:div>
        <w:div w:id="718089202">
          <w:marLeft w:val="0"/>
          <w:marRight w:val="0"/>
          <w:marTop w:val="0"/>
          <w:marBottom w:val="0"/>
          <w:divBdr>
            <w:top w:val="none" w:sz="0" w:space="0" w:color="auto"/>
            <w:left w:val="none" w:sz="0" w:space="0" w:color="auto"/>
            <w:bottom w:val="none" w:sz="0" w:space="0" w:color="auto"/>
            <w:right w:val="none" w:sz="0" w:space="0" w:color="auto"/>
          </w:divBdr>
        </w:div>
        <w:div w:id="151526804">
          <w:marLeft w:val="0"/>
          <w:marRight w:val="0"/>
          <w:marTop w:val="0"/>
          <w:marBottom w:val="0"/>
          <w:divBdr>
            <w:top w:val="none" w:sz="0" w:space="0" w:color="auto"/>
            <w:left w:val="none" w:sz="0" w:space="0" w:color="auto"/>
            <w:bottom w:val="none" w:sz="0" w:space="0" w:color="auto"/>
            <w:right w:val="none" w:sz="0" w:space="0" w:color="auto"/>
          </w:divBdr>
        </w:div>
        <w:div w:id="1302033061">
          <w:marLeft w:val="0"/>
          <w:marRight w:val="0"/>
          <w:marTop w:val="0"/>
          <w:marBottom w:val="0"/>
          <w:divBdr>
            <w:top w:val="none" w:sz="0" w:space="0" w:color="auto"/>
            <w:left w:val="none" w:sz="0" w:space="0" w:color="auto"/>
            <w:bottom w:val="none" w:sz="0" w:space="0" w:color="auto"/>
            <w:right w:val="none" w:sz="0" w:space="0" w:color="auto"/>
          </w:divBdr>
        </w:div>
        <w:div w:id="1605918886">
          <w:marLeft w:val="0"/>
          <w:marRight w:val="0"/>
          <w:marTop w:val="0"/>
          <w:marBottom w:val="0"/>
          <w:divBdr>
            <w:top w:val="none" w:sz="0" w:space="0" w:color="auto"/>
            <w:left w:val="none" w:sz="0" w:space="0" w:color="auto"/>
            <w:bottom w:val="none" w:sz="0" w:space="0" w:color="auto"/>
            <w:right w:val="none" w:sz="0" w:space="0" w:color="auto"/>
          </w:divBdr>
        </w:div>
        <w:div w:id="1581452337">
          <w:marLeft w:val="0"/>
          <w:marRight w:val="0"/>
          <w:marTop w:val="0"/>
          <w:marBottom w:val="0"/>
          <w:divBdr>
            <w:top w:val="none" w:sz="0" w:space="0" w:color="auto"/>
            <w:left w:val="none" w:sz="0" w:space="0" w:color="auto"/>
            <w:bottom w:val="none" w:sz="0" w:space="0" w:color="auto"/>
            <w:right w:val="none" w:sz="0" w:space="0" w:color="auto"/>
          </w:divBdr>
        </w:div>
        <w:div w:id="1118181105">
          <w:marLeft w:val="0"/>
          <w:marRight w:val="0"/>
          <w:marTop w:val="0"/>
          <w:marBottom w:val="0"/>
          <w:divBdr>
            <w:top w:val="none" w:sz="0" w:space="0" w:color="auto"/>
            <w:left w:val="none" w:sz="0" w:space="0" w:color="auto"/>
            <w:bottom w:val="none" w:sz="0" w:space="0" w:color="auto"/>
            <w:right w:val="none" w:sz="0" w:space="0" w:color="auto"/>
          </w:divBdr>
        </w:div>
        <w:div w:id="907182050">
          <w:marLeft w:val="0"/>
          <w:marRight w:val="0"/>
          <w:marTop w:val="0"/>
          <w:marBottom w:val="0"/>
          <w:divBdr>
            <w:top w:val="none" w:sz="0" w:space="0" w:color="auto"/>
            <w:left w:val="none" w:sz="0" w:space="0" w:color="auto"/>
            <w:bottom w:val="none" w:sz="0" w:space="0" w:color="auto"/>
            <w:right w:val="none" w:sz="0" w:space="0" w:color="auto"/>
          </w:divBdr>
        </w:div>
        <w:div w:id="511069000">
          <w:marLeft w:val="0"/>
          <w:marRight w:val="0"/>
          <w:marTop w:val="0"/>
          <w:marBottom w:val="0"/>
          <w:divBdr>
            <w:top w:val="none" w:sz="0" w:space="0" w:color="auto"/>
            <w:left w:val="none" w:sz="0" w:space="0" w:color="auto"/>
            <w:bottom w:val="none" w:sz="0" w:space="0" w:color="auto"/>
            <w:right w:val="none" w:sz="0" w:space="0" w:color="auto"/>
          </w:divBdr>
        </w:div>
        <w:div w:id="410203878">
          <w:marLeft w:val="0"/>
          <w:marRight w:val="0"/>
          <w:marTop w:val="0"/>
          <w:marBottom w:val="0"/>
          <w:divBdr>
            <w:top w:val="none" w:sz="0" w:space="0" w:color="auto"/>
            <w:left w:val="none" w:sz="0" w:space="0" w:color="auto"/>
            <w:bottom w:val="none" w:sz="0" w:space="0" w:color="auto"/>
            <w:right w:val="none" w:sz="0" w:space="0" w:color="auto"/>
          </w:divBdr>
        </w:div>
        <w:div w:id="931863567">
          <w:marLeft w:val="0"/>
          <w:marRight w:val="0"/>
          <w:marTop w:val="0"/>
          <w:marBottom w:val="0"/>
          <w:divBdr>
            <w:top w:val="none" w:sz="0" w:space="0" w:color="auto"/>
            <w:left w:val="none" w:sz="0" w:space="0" w:color="auto"/>
            <w:bottom w:val="none" w:sz="0" w:space="0" w:color="auto"/>
            <w:right w:val="none" w:sz="0" w:space="0" w:color="auto"/>
          </w:divBdr>
        </w:div>
        <w:div w:id="39943492">
          <w:marLeft w:val="0"/>
          <w:marRight w:val="0"/>
          <w:marTop w:val="0"/>
          <w:marBottom w:val="0"/>
          <w:divBdr>
            <w:top w:val="none" w:sz="0" w:space="0" w:color="auto"/>
            <w:left w:val="none" w:sz="0" w:space="0" w:color="auto"/>
            <w:bottom w:val="none" w:sz="0" w:space="0" w:color="auto"/>
            <w:right w:val="none" w:sz="0" w:space="0" w:color="auto"/>
          </w:divBdr>
        </w:div>
      </w:divsChild>
    </w:div>
    <w:div w:id="166909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cv.edu.pe/bitstream/handle/20.500.12692/6921/Aparicio-ON.pdf?sequence=1&amp;isAllowed=y" TargetMode="External"/><Relationship Id="rId13" Type="http://schemas.openxmlformats.org/officeDocument/2006/relationships/hyperlink" Target="http://hdl.handle.net/2117/953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pv.es/contenidos/CAMUNISO/info/U066935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positorio.uncp.edu.pe/bitstream/handle/20.500.12894/1328/Tesis-Angel-Unchupaico.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sis.ipn.mx/bitstream/handle/123456789/13675/TESIS%20FINAL_1.pdf" TargetMode="External"/><Relationship Id="rId5" Type="http://schemas.openxmlformats.org/officeDocument/2006/relationships/webSettings" Target="webSettings.xml"/><Relationship Id="rId15" Type="http://schemas.openxmlformats.org/officeDocument/2006/relationships/hyperlink" Target="https://bibliotecauvirtual.files.wordpress.com/2019/06/libro_educ_amb_peru.pdf" TargetMode="External"/><Relationship Id="rId10" Type="http://schemas.openxmlformats.org/officeDocument/2006/relationships/hyperlink" Target="https://tesis.pucp.edu.pe/repositorio/handle/20.500.12404/51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positorio.ucv.edu.pe/browse?type=subject&amp;value=Turismo%20-%20Desarrollo%20%E2%80%93%20Sostenible%20%E2%80%93%20Quives" TargetMode="External"/><Relationship Id="rId14" Type="http://schemas.openxmlformats.org/officeDocument/2006/relationships/hyperlink" Target="https://www.un.org/es/ga/president/65/issues/sustdev.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62218-7030-4F07-9B88-D332BEFE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6252</Words>
  <Characters>34389</Characters>
  <Application>Microsoft Office Word</Application>
  <DocSecurity>0</DocSecurity>
  <Lines>286</Lines>
  <Paragraphs>81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Análisis inferencial </vt:lpstr>
    </vt:vector>
  </TitlesOfParts>
  <Company>Hewlett-Packard</Company>
  <LinksUpToDate>false</LinksUpToDate>
  <CharactersWithSpaces>40560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 Espinoza Quilca</dc:creator>
  <cp:keywords/>
  <dc:description/>
  <cp:lastModifiedBy>GISELLE HUAMAN SANCHEZ</cp:lastModifiedBy>
  <cp:revision>2</cp:revision>
  <cp:lastPrinted>2022-07-02T03:20:00Z</cp:lastPrinted>
  <dcterms:created xsi:type="dcterms:W3CDTF">2022-07-02T03:21:00Z</dcterms:created>
  <dcterms:modified xsi:type="dcterms:W3CDTF">2022-07-02T03:21:00Z</dcterms:modified>
</cp:coreProperties>
</file>